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docProps/core.xml" ContentType="application/vnd.openxmlformats-package.core-properties+xml"/>
  <Override PartName="/docProps/app.xml" ContentType="application/vnd.openxmlformats-officedocument.extended-properties+xml"/>
  <Override PartName="/word/theme/theme1.xml" ContentType="application/vnd.openxmlformats-officedocument.theme+xml"/>
</Types>
</file>

<file path=_rels/.rels>&#65279;<?xml version="1.0" encoding="utf-8"?><Relationships xmlns="http://schemas.openxmlformats.org/package/2006/relationships"><Relationship Id="R1" Type="http://schemas.openxmlformats.org/officeDocument/2006/relationships/officeDocument" Target="/word/document.xml" /><Relationship Id="coreR1" Type="http://schemas.openxmlformats.org/package/2006/relationships/metadata/core-properties" Target="/docProps/core.xml" /><Relationship Id="appR1" Type="http://schemas.openxmlformats.org/officeDocument/2006/relationships/extended-properties" Target="/docProps/app.xml" /></Relationships>
</file>

<file path=word/document.xml><?xml version="1.0" encoding="utf-8"?>
<w:document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xmlns:wpg="http://schemas.microsoft.com/office/word/2010/wordprocessingGroup" xmlns:wpc="http://schemas.microsoft.com/office/word/2010/wordprocessingCanvas" xmlns:w14="http://schemas.microsoft.com/office/word/2010/wordml" xmlns:w15="http://schemas.microsoft.com/office/word/2012/wordml" xmlns:cx1="http://schemas.microsoft.com/office/drawing/2015/9/8/chartex" xmlns:cx2="http://schemas.microsoft.com/office/drawing/2015/10/21/chartex" mc:Ignorable="wp14 w14 w15">
  <w:body>
    <w:tbl>
      <w:tblPr>
        <w:tblW w:w="0" w:type="auto"/>
        <w:tblInd w:w="0" w:type="dxa"/>
        <w:tblBorders>
          <w:top w:val="none" w:sz="6" w:space="0" w:shadow="0" w:frame="0" w:color="000000"/>
          <w:left w:val="none" w:sz="6" w:space="0" w:shadow="0" w:frame="0" w:color="000000"/>
          <w:bottom w:val="none" w:sz="6" w:space="0" w:shadow="0" w:frame="0" w:color="000000"/>
          <w:right w:val="none" w:sz="6" w:space="0" w:shadow="0" w:frame="0" w:color="000000"/>
          <w:insideH w:val="none" w:sz="6" w:space="0" w:shadow="0" w:frame="0" w:color="000000"/>
          <w:insideV w:val="none" w:sz="6" w:space="0" w:shadow="0" w:frame="0" w:color="000000"/>
        </w:tblBorders>
        <w:tblLayout w:type="autofit"/>
        <w:tblCellMar>
          <w:top w:w="0" w:type="dxa"/>
          <w:left w:w="0" w:type="dxa"/>
          <w:bottom w:w="0" w:type="dxa"/>
          <w:right w:w="0" w:type="dxa"/>
        </w:tblCellMar>
      </w:tblPr>
      <w:tblGrid/>
      <w:tr>
        <w:tc>
          <w:tcPr>
            <w:tcW w:w="10772" w:type="dxa"/>
            <w:tcBorders>
              <w:top w:val="nil"/>
              <w:left w:val="nil"/>
              <w:bottom w:val="nil"/>
              <w:right w:val="nil"/>
            </w:tcBorders>
            <w:tcMar>
              <w:top w:w="0" w:type="dxa"/>
              <w:left w:w="108" w:type="dxa"/>
              <w:bottom w:w="0" w:type="dxa"/>
              <w:right w:w="108" w:type="dxa"/>
            </w:tcMar>
            <w:vAlign w:val="top"/>
            <w:hideMark/>
          </w:tcPr>
          <w:p>
            <w:pPr>
              <w:spacing w:before="0" w:after="0" w:beforeAutospacing="0" w:afterAutospacing="0"/>
              <w:ind w:left="0" w:right="0"/>
              <w:jc w:val="right"/>
              <w:rPr>
                <w:rFonts w:ascii="Times New Roman" w:hAnsi="Times New Roman" w:cs="Times New Roman" w:eastAsia="Times New Roman"/>
                <w:sz w:val="24"/>
              </w:rPr>
            </w:pPr>
            <w:r>
              <w:rPr>
                <w:rFonts w:ascii="Times New Roman" w:hAnsi="Times New Roman" w:cs="Times New Roman" w:eastAsia="Times New Roman"/>
                <w:sz w:val="20"/>
                <w:szCs w:val="20"/>
              </w:rPr>
              <w:t xml:space="preserve">Утв. приказом Минфина РФ </w:t>
              <w:br w:type="textWrapping"/>
              <w:t xml:space="preserve">от 28 декабря 2010 г. № 191н </w:t>
              <w:br w:type="textWrapping"/>
            </w:r>
            <w:r>
              <w:rPr>
                <w:rFonts w:ascii="Times New Roman" w:hAnsi="Times New Roman" w:cs="Times New Roman" w:eastAsia="Times New Roman"/>
                <w:i w:val="1"/>
                <w:sz w:val="20"/>
                <w:szCs w:val="20"/>
              </w:rPr>
              <w:t>(в ред. от 16 ноября 2016 г.)</w:t>
            </w:r>
          </w:p>
        </w:tc>
      </w:tr>
    </w:tbl>
    <w:p>
      <w:pPr>
        <w:spacing w:before="0" w:after="0" w:beforeAutospacing="0" w:afterAutospacing="0"/>
        <w:ind w:firstLine="0" w:left="0" w:right="0"/>
        <w:outlineLvl w:val="9"/>
        <w:rPr>
          <w:rFonts w:ascii="Times New Roman" w:hAnsi="Times New Roman" w:cs="Times New Roman" w:eastAsia="Times New Roman"/>
          <w:sz w:val="24"/>
        </w:rPr>
      </w:pPr>
      <w:r>
        <w:rPr>
          <w:rFonts w:ascii="Times New Roman" w:hAnsi="Times New Roman" w:cs="Times New Roman" w:eastAsia="Times New Roman"/>
          <w:vanish w:val="1"/>
          <w:sz w:val="24"/>
          <w:szCs w:val="24"/>
        </w:rPr>
        <w:t> </w:t>
      </w:r>
    </w:p>
    <w:tbl>
      <w:tblPr>
        <w:tblW w:w="9580" w:type="dxa"/>
        <w:tblInd w:w="93" w:type="dxa"/>
        <w:tblBorders>
          <w:top w:val="none" w:sz="0" w:space="0" w:shadow="0" w:frame="0" w:color="000000"/>
          <w:left w:val="none" w:sz="0" w:space="0" w:shadow="0" w:frame="0" w:color="000000"/>
          <w:bottom w:val="none" w:sz="0" w:space="0" w:shadow="0" w:frame="0" w:color="000000"/>
          <w:right w:val="none" w:sz="0" w:space="0" w:shadow="0" w:frame="0" w:color="000000"/>
          <w:insideH w:val="none" w:sz="0" w:space="0" w:shadow="0" w:frame="0" w:color="auto"/>
          <w:insideV w:val="none" w:sz="0" w:space="0" w:shadow="0" w:frame="0" w:color="auto"/>
        </w:tblBorders>
        <w:tblLayout w:type="autofit"/>
        <w:tblCellMar>
          <w:top w:w="0" w:type="dxa"/>
          <w:left w:w="0" w:type="dxa"/>
          <w:bottom w:w="0" w:type="dxa"/>
          <w:right w:w="0" w:type="dxa"/>
        </w:tblCellMar>
      </w:tblPr>
      <w:tblGrid/>
      <w:tr>
        <w:trPr>
          <w:trHeight w:hRule="atLeast" w:val="270"/>
        </w:trPr>
        <w:tc>
          <w:tcPr>
            <w:tcW w:w="5940" w:type="dxa"/>
            <w:noWrap/>
            <w:tcMar>
              <w:top w:w="0" w:type="dxa"/>
              <w:left w:w="108" w:type="dxa"/>
              <w:bottom w:w="0" w:type="dxa"/>
              <w:right w:w="108" w:type="dxa"/>
            </w:tcMar>
            <w:vAlign w:val="bottom"/>
            <w:hideMark/>
          </w:tcPr>
          <w:p>
            <w:pPr>
              <w:spacing w:before="0" w:after="0" w:beforeAutospacing="0" w:afterAutospacing="0"/>
              <w:ind w:left="0" w:right="0"/>
              <w:jc w:val="center"/>
              <w:rPr>
                <w:rFonts w:ascii="Times New Roman" w:hAnsi="Times New Roman" w:cs="Times New Roman" w:eastAsia="Times New Roman"/>
                <w:sz w:val="24"/>
              </w:rPr>
            </w:pPr>
            <w:r>
              <w:rPr>
                <w:rFonts w:ascii="Times New Roman" w:hAnsi="Times New Roman" w:cs="Times New Roman" w:eastAsia="Times New Roman"/>
                <w:b w:val="1"/>
                <w:sz w:val="20"/>
                <w:szCs w:val="20"/>
              </w:rPr>
              <w:t>ПОЯСНИТЕЛЬНАЯ ЗАПИСКА</w:t>
            </w:r>
          </w:p>
        </w:tc>
        <w:tc>
          <w:tcPr>
            <w:tcW w:w="195" w:type="dxa"/>
            <w:noWrap/>
            <w:tcMar>
              <w:top w:w="0" w:type="dxa"/>
              <w:left w:w="108" w:type="dxa"/>
              <w:bottom w:w="0" w:type="dxa"/>
              <w:right w:w="108" w:type="dxa"/>
            </w:tcMar>
            <w:vAlign w:val="bottom"/>
            <w:hideMark/>
          </w:tcPr>
          <w:p>
            <w:pPr>
              <w:ind w:left="0" w:right="0"/>
              <w:rPr>
                <w:sz w:val="24"/>
              </w:rPr>
            </w:pPr>
          </w:p>
        </w:tc>
        <w:tc>
          <w:tcPr>
            <w:tcW w:w="1500" w:type="dxa"/>
            <w:noWrap/>
            <w:tcMar>
              <w:top w:w="0" w:type="dxa"/>
              <w:left w:w="108" w:type="dxa"/>
              <w:bottom w:w="0" w:type="dxa"/>
              <w:right w:w="108" w:type="dxa"/>
            </w:tcMar>
            <w:vAlign w:val="bottom"/>
            <w:hideMark/>
          </w:tcPr>
          <w:p>
            <w:pPr>
              <w:ind w:left="0" w:right="0"/>
              <w:rPr>
                <w:sz w:val="24"/>
              </w:rPr>
            </w:pPr>
          </w:p>
        </w:tc>
        <w:tc>
          <w:tcPr>
            <w:tcW w:w="1680" w:type="dxa"/>
            <w:noWrap/>
            <w:tcMar>
              <w:top w:w="0" w:type="dxa"/>
              <w:left w:w="108" w:type="dxa"/>
              <w:bottom w:w="0" w:type="dxa"/>
              <w:right w:w="108" w:type="dxa"/>
            </w:tcMar>
            <w:vAlign w:val="bottom"/>
            <w:hideMark/>
          </w:tcPr>
          <w:p>
            <w:pPr>
              <w:ind w:left="0" w:right="0"/>
              <w:rPr>
                <w:sz w:val="24"/>
              </w:rPr>
            </w:pPr>
          </w:p>
        </w:tc>
      </w:tr>
      <w:tr>
        <w:trPr>
          <w:trHeight w:hRule="atLeast" w:val="255"/>
        </w:trPr>
        <w:tc>
          <w:tcPr>
            <w:tcW w:w="5940" w:type="dxa"/>
            <w:noWrap/>
            <w:tcMar>
              <w:top w:w="0" w:type="dxa"/>
              <w:left w:w="108" w:type="dxa"/>
              <w:bottom w:w="0" w:type="dxa"/>
              <w:right w:w="108" w:type="dxa"/>
            </w:tcMar>
            <w:vAlign w:val="bottom"/>
            <w:hideMark/>
          </w:tcPr>
          <w:p>
            <w:pPr>
              <w:ind w:left="0" w:right="0"/>
              <w:rPr>
                <w:sz w:val="24"/>
              </w:rPr>
            </w:pPr>
          </w:p>
        </w:tc>
        <w:tc>
          <w:tcPr>
            <w:tcW w:w="195" w:type="dxa"/>
            <w:noWrap/>
            <w:tcMar>
              <w:top w:w="0" w:type="dxa"/>
              <w:left w:w="108" w:type="dxa"/>
              <w:bottom w:w="0" w:type="dxa"/>
              <w:right w:w="108" w:type="dxa"/>
            </w:tcMar>
            <w:vAlign w:val="bottom"/>
            <w:hideMark/>
          </w:tcPr>
          <w:p>
            <w:pPr>
              <w:ind w:left="0" w:right="0"/>
              <w:rPr>
                <w:sz w:val="24"/>
              </w:rPr>
            </w:pPr>
          </w:p>
        </w:tc>
        <w:tc>
          <w:tcPr>
            <w:tcW w:w="1500" w:type="dxa"/>
            <w:noWrap/>
            <w:tcMar>
              <w:top w:w="0" w:type="dxa"/>
              <w:left w:w="108" w:type="dxa"/>
              <w:bottom w:w="0" w:type="dxa"/>
              <w:right w:w="108" w:type="dxa"/>
            </w:tcMar>
            <w:vAlign w:val="bottom"/>
            <w:hideMark/>
          </w:tcPr>
          <w:p>
            <w:pPr>
              <w:ind w:left="0" w:right="0"/>
              <w:rPr>
                <w:sz w:val="24"/>
              </w:rPr>
            </w:pPr>
          </w:p>
        </w:tc>
        <w:tc>
          <w:tcPr>
            <w:tcW w:w="1680" w:type="dxa"/>
            <w:tcBorders>
              <w:top w:val="single" w:sz="8" w:space="0" w:shadow="0" w:frame="0" w:color="000000"/>
              <w:left w:val="single" w:sz="8" w:space="0" w:shadow="0" w:frame="0" w:color="000000"/>
              <w:bottom w:val="single" w:sz="8" w:space="0" w:shadow="0" w:frame="0" w:color="000000"/>
              <w:right w:val="single" w:sz="8" w:space="0" w:shadow="0" w:frame="0" w:color="000000"/>
            </w:tcBorders>
            <w:noWrap/>
            <w:tcMar>
              <w:top w:w="0" w:type="dxa"/>
              <w:left w:w="108" w:type="dxa"/>
              <w:bottom w:w="0" w:type="dxa"/>
              <w:right w:w="108" w:type="dxa"/>
            </w:tcMar>
            <w:vAlign w:val="bottom"/>
            <w:hideMark/>
          </w:tcPr>
          <w:p>
            <w:pPr>
              <w:spacing w:before="0" w:after="0" w:beforeAutospacing="0" w:afterAutospacing="0"/>
              <w:ind w:left="0" w:right="0"/>
              <w:jc w:val="center"/>
              <w:rPr>
                <w:rFonts w:ascii="Times New Roman" w:hAnsi="Times New Roman" w:cs="Times New Roman" w:eastAsia="Times New Roman"/>
                <w:sz w:val="24"/>
              </w:rPr>
            </w:pPr>
            <w:r>
              <w:rPr>
                <w:rFonts w:ascii="Times New Roman" w:hAnsi="Times New Roman" w:cs="Times New Roman" w:eastAsia="Times New Roman"/>
                <w:sz w:val="18"/>
                <w:szCs w:val="18"/>
              </w:rPr>
              <w:t>КОДЫ</w:t>
            </w:r>
          </w:p>
        </w:tc>
      </w:tr>
      <w:tr>
        <w:trPr>
          <w:trHeight w:hRule="atLeast" w:val="282"/>
        </w:trPr>
        <w:tc>
          <w:tcPr>
            <w:tcW w:w="0" w:type="auto"/>
            <w:noWrap/>
            <w:tcMar>
              <w:top w:w="0" w:type="dxa"/>
              <w:left w:w="108" w:type="dxa"/>
              <w:bottom w:w="0" w:type="dxa"/>
              <w:right w:w="108" w:type="dxa"/>
            </w:tcMar>
            <w:vAlign w:val="bottom"/>
            <w:hideMark/>
          </w:tcPr>
          <w:p>
            <w:pPr>
              <w:ind w:left="0" w:right="0"/>
              <w:rPr>
                <w:sz w:val="24"/>
              </w:rPr>
            </w:pPr>
          </w:p>
        </w:tc>
        <w:tc>
          <w:tcPr>
            <w:tcW w:w="0" w:type="auto"/>
            <w:gridSpan w:val="2"/>
            <w:noWrap/>
            <w:tcMar>
              <w:top w:w="0" w:type="dxa"/>
              <w:left w:w="108" w:type="dxa"/>
              <w:bottom w:w="0" w:type="dxa"/>
              <w:right w:w="108" w:type="dxa"/>
            </w:tcMar>
            <w:vAlign w:val="bottom"/>
            <w:hideMark/>
          </w:tcPr>
          <w:p>
            <w:pPr>
              <w:spacing w:before="0" w:after="0" w:beforeAutospacing="0" w:afterAutospacing="0"/>
              <w:ind w:left="0" w:right="0"/>
              <w:jc w:val="right"/>
              <w:rPr>
                <w:rFonts w:ascii="Times New Roman" w:hAnsi="Times New Roman" w:cs="Times New Roman" w:eastAsia="Times New Roman"/>
                <w:sz w:val="24"/>
              </w:rPr>
            </w:pPr>
            <w:r>
              <w:rPr>
                <w:rFonts w:ascii="Times New Roman" w:hAnsi="Times New Roman" w:cs="Times New Roman" w:eastAsia="Times New Roman"/>
                <w:sz w:val="18"/>
                <w:szCs w:val="18"/>
              </w:rPr>
              <w:t>Форма по ОКУД</w:t>
            </w:r>
          </w:p>
        </w:tc>
        <w:tc>
          <w:tcPr>
            <w:tcW w:w="1680" w:type="dxa"/>
            <w:tcBorders>
              <w:top w:val="nil"/>
              <w:left w:val="single" w:sz="8" w:space="0" w:shadow="0" w:frame="0" w:color="000000"/>
              <w:bottom w:val="single" w:sz="8" w:space="0" w:shadow="0" w:frame="0" w:color="000000"/>
              <w:right w:val="single" w:sz="8" w:space="0" w:shadow="0" w:frame="0" w:color="000000"/>
            </w:tcBorders>
            <w:noWrap/>
            <w:tcMar>
              <w:top w:w="0" w:type="dxa"/>
              <w:left w:w="108" w:type="dxa"/>
              <w:bottom w:w="0" w:type="dxa"/>
              <w:right w:w="108" w:type="dxa"/>
            </w:tcMar>
            <w:vAlign w:val="bottom"/>
            <w:hideMark/>
          </w:tcPr>
          <w:p>
            <w:pPr>
              <w:spacing w:before="0" w:after="0" w:beforeAutospacing="0" w:afterAutospacing="0"/>
              <w:ind w:left="0" w:right="0"/>
              <w:jc w:val="center"/>
              <w:rPr>
                <w:rFonts w:ascii="Times New Roman" w:hAnsi="Times New Roman" w:cs="Times New Roman" w:eastAsia="Times New Roman"/>
                <w:sz w:val="24"/>
              </w:rPr>
            </w:pPr>
            <w:r>
              <w:rPr>
                <w:rFonts w:ascii="Times New Roman" w:hAnsi="Times New Roman" w:cs="Times New Roman" w:eastAsia="Times New Roman"/>
                <w:sz w:val="18"/>
                <w:szCs w:val="18"/>
              </w:rPr>
              <w:t>0503160</w:t>
            </w:r>
          </w:p>
        </w:tc>
      </w:tr>
      <w:tr>
        <w:trPr>
          <w:trHeight w:hRule="atLeast" w:val="282"/>
        </w:trPr>
        <w:tc>
          <w:tcPr>
            <w:tcW w:w="0" w:type="auto"/>
            <w:gridSpan w:val="2"/>
            <w:noWrap/>
            <w:tcMar>
              <w:top w:w="0" w:type="dxa"/>
              <w:left w:w="108" w:type="dxa"/>
              <w:bottom w:w="0" w:type="dxa"/>
              <w:right w:w="108" w:type="dxa"/>
            </w:tcMar>
            <w:vAlign w:val="bottom"/>
            <w:hideMark/>
          </w:tcPr>
          <w:p>
            <w:pPr>
              <w:spacing w:before="0" w:after="0" w:beforeAutospacing="0" w:afterAutospacing="0"/>
              <w:ind w:left="0" w:right="0"/>
              <w:jc w:val="center"/>
              <w:rPr>
                <w:rFonts w:ascii="Times New Roman" w:hAnsi="Times New Roman" w:cs="Times New Roman" w:eastAsia="Times New Roman"/>
                <w:sz w:val="24"/>
              </w:rPr>
            </w:pPr>
            <w:r>
              <w:rPr>
                <w:rFonts w:ascii="Times New Roman" w:hAnsi="Times New Roman" w:cs="Times New Roman" w:eastAsia="Times New Roman"/>
                <w:sz w:val="18"/>
                <w:szCs w:val="18"/>
              </w:rPr>
              <w:t>                          на   1 октября 2024 г.</w:t>
            </w:r>
          </w:p>
        </w:tc>
        <w:tc>
          <w:tcPr>
            <w:tcW w:w="1500" w:type="dxa"/>
            <w:noWrap/>
            <w:tcMar>
              <w:top w:w="0" w:type="dxa"/>
              <w:left w:w="108" w:type="dxa"/>
              <w:bottom w:w="0" w:type="dxa"/>
              <w:right w:w="108" w:type="dxa"/>
            </w:tcMar>
            <w:vAlign w:val="bottom"/>
            <w:hideMark/>
          </w:tcPr>
          <w:p>
            <w:pPr>
              <w:spacing w:before="0" w:after="0" w:beforeAutospacing="0" w:afterAutospacing="0"/>
              <w:ind w:left="0" w:right="0"/>
              <w:jc w:val="right"/>
              <w:rPr>
                <w:rFonts w:ascii="Times New Roman" w:hAnsi="Times New Roman" w:cs="Times New Roman" w:eastAsia="Times New Roman"/>
                <w:sz w:val="24"/>
              </w:rPr>
            </w:pPr>
            <w:r>
              <w:rPr>
                <w:rFonts w:ascii="Times New Roman" w:hAnsi="Times New Roman" w:cs="Times New Roman" w:eastAsia="Times New Roman"/>
                <w:sz w:val="18"/>
                <w:szCs w:val="18"/>
              </w:rPr>
              <w:t> Дата</w:t>
            </w:r>
          </w:p>
        </w:tc>
        <w:tc>
          <w:tcPr>
            <w:tcW w:w="1680" w:type="dxa"/>
            <w:tcBorders>
              <w:top w:val="nil"/>
              <w:left w:val="single" w:sz="8" w:space="0" w:shadow="0" w:frame="0" w:color="000000"/>
              <w:bottom w:val="single" w:sz="8" w:space="0" w:shadow="0" w:frame="0" w:color="000000"/>
              <w:right w:val="single" w:sz="8" w:space="0" w:shadow="0" w:frame="0" w:color="000000"/>
            </w:tcBorders>
            <w:noWrap/>
            <w:tcMar>
              <w:top w:w="0" w:type="dxa"/>
              <w:left w:w="108" w:type="dxa"/>
              <w:bottom w:w="0" w:type="dxa"/>
              <w:right w:w="108" w:type="dxa"/>
            </w:tcMar>
            <w:vAlign w:val="bottom"/>
            <w:hideMark/>
          </w:tcPr>
          <w:p>
            <w:pPr>
              <w:spacing w:before="0" w:after="0" w:beforeAutospacing="0" w:afterAutospacing="0"/>
              <w:ind w:left="0" w:right="0"/>
              <w:jc w:val="center"/>
              <w:rPr>
                <w:rFonts w:ascii="Times New Roman" w:hAnsi="Times New Roman" w:cs="Times New Roman" w:eastAsia="Times New Roman"/>
                <w:sz w:val="24"/>
              </w:rPr>
            </w:pPr>
            <w:r>
              <w:rPr>
                <w:rFonts w:ascii="Times New Roman" w:hAnsi="Times New Roman" w:cs="Times New Roman" w:eastAsia="Times New Roman"/>
                <w:sz w:val="18"/>
                <w:szCs w:val="18"/>
              </w:rPr>
              <w:t>01.10.2024</w:t>
            </w:r>
          </w:p>
        </w:tc>
      </w:tr>
      <w:tr>
        <w:trPr>
          <w:trHeight w:hRule="atLeast" w:val="300"/>
        </w:trPr>
        <w:tc>
          <w:tcPr>
            <w:tcW w:w="5940" w:type="dxa"/>
            <w:noWrap/>
            <w:tcMar>
              <w:top w:w="0" w:type="dxa"/>
              <w:left w:w="108" w:type="dxa"/>
              <w:bottom w:w="0" w:type="dxa"/>
              <w:right w:w="108" w:type="dxa"/>
            </w:tcMar>
            <w:vAlign w:val="bottom"/>
            <w:hideMark/>
          </w:tcPr>
          <w:p>
            <w:pPr>
              <w:spacing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18"/>
                <w:szCs w:val="18"/>
              </w:rPr>
              <w:t>Главный распорядитель, распорядитель,</w:t>
            </w:r>
          </w:p>
        </w:tc>
        <w:tc>
          <w:tcPr>
            <w:tcW w:w="195" w:type="dxa"/>
            <w:noWrap/>
            <w:tcMar>
              <w:top w:w="0" w:type="dxa"/>
              <w:left w:w="108" w:type="dxa"/>
              <w:bottom w:w="0" w:type="dxa"/>
              <w:right w:w="108" w:type="dxa"/>
            </w:tcMar>
            <w:vAlign w:val="bottom"/>
            <w:hideMark/>
          </w:tcPr>
          <w:p>
            <w:pPr>
              <w:ind w:left="0" w:right="0"/>
              <w:rPr>
                <w:sz w:val="24"/>
              </w:rPr>
            </w:pPr>
          </w:p>
        </w:tc>
        <w:tc>
          <w:tcPr>
            <w:tcW w:w="1500" w:type="dxa"/>
            <w:noWrap/>
            <w:tcMar>
              <w:top w:w="0" w:type="dxa"/>
              <w:left w:w="108" w:type="dxa"/>
              <w:bottom w:w="0" w:type="dxa"/>
              <w:right w:w="108" w:type="dxa"/>
            </w:tcMar>
            <w:vAlign w:val="bottom"/>
            <w:hideMark/>
          </w:tcPr>
          <w:p>
            <w:pPr>
              <w:ind w:left="0" w:right="0"/>
              <w:rPr>
                <w:sz w:val="24"/>
              </w:rPr>
            </w:pPr>
          </w:p>
        </w:tc>
        <w:tc>
          <w:tcPr>
            <w:tcW w:w="1680" w:type="dxa"/>
            <w:tcBorders>
              <w:top w:val="nil"/>
              <w:left w:val="single" w:sz="8" w:space="0" w:shadow="0" w:frame="0" w:color="000000"/>
              <w:bottom w:val="nil"/>
              <w:right w:val="single" w:sz="8" w:space="0" w:shadow="0" w:frame="0" w:color="000000"/>
            </w:tcBorders>
            <w:noWrap/>
            <w:tcMar>
              <w:top w:w="0" w:type="dxa"/>
              <w:left w:w="108" w:type="dxa"/>
              <w:bottom w:w="0" w:type="dxa"/>
              <w:right w:w="108" w:type="dxa"/>
            </w:tcMar>
            <w:vAlign w:val="bottom"/>
            <w:hideMark/>
          </w:tcPr>
          <w:p>
            <w:pPr>
              <w:ind w:left="0" w:right="0"/>
              <w:rPr>
                <w:sz w:val="24"/>
              </w:rPr>
            </w:pPr>
          </w:p>
        </w:tc>
      </w:tr>
      <w:tr>
        <w:trPr>
          <w:trHeight w:hRule="atLeast" w:val="195"/>
        </w:trPr>
        <w:tc>
          <w:tcPr>
            <w:tcW w:w="5940" w:type="dxa"/>
            <w:noWrap/>
            <w:tcMar>
              <w:top w:w="0" w:type="dxa"/>
              <w:left w:w="108" w:type="dxa"/>
              <w:bottom w:w="0" w:type="dxa"/>
              <w:right w:w="108" w:type="dxa"/>
            </w:tcMar>
            <w:vAlign w:val="bottom"/>
            <w:hideMark/>
          </w:tcPr>
          <w:p>
            <w:pPr>
              <w:spacing w:lineRule="atLeast" w:line="195"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18"/>
                <w:szCs w:val="18"/>
              </w:rPr>
              <w:t>получатель бюджетных средств, главный администратор,   </w:t>
            </w:r>
          </w:p>
        </w:tc>
        <w:tc>
          <w:tcPr>
            <w:tcW w:w="195" w:type="dxa"/>
            <w:noWrap/>
            <w:tcMar>
              <w:top w:w="0" w:type="dxa"/>
              <w:left w:w="108" w:type="dxa"/>
              <w:bottom w:w="0" w:type="dxa"/>
              <w:right w:w="108" w:type="dxa"/>
            </w:tcMar>
            <w:vAlign w:val="bottom"/>
            <w:hideMark/>
          </w:tcPr>
          <w:p>
            <w:pPr>
              <w:ind w:left="0" w:right="0"/>
              <w:rPr>
                <w:sz w:val="20"/>
              </w:rPr>
            </w:pPr>
          </w:p>
        </w:tc>
        <w:tc>
          <w:tcPr>
            <w:tcW w:w="1500" w:type="dxa"/>
            <w:noWrap/>
            <w:tcMar>
              <w:top w:w="0" w:type="dxa"/>
              <w:left w:w="108" w:type="dxa"/>
              <w:bottom w:w="0" w:type="dxa"/>
              <w:right w:w="108" w:type="dxa"/>
            </w:tcMar>
            <w:vAlign w:val="bottom"/>
            <w:hideMark/>
          </w:tcPr>
          <w:p>
            <w:pPr>
              <w:ind w:left="0" w:right="0"/>
              <w:rPr>
                <w:sz w:val="20"/>
              </w:rPr>
            </w:pPr>
          </w:p>
        </w:tc>
        <w:tc>
          <w:tcPr>
            <w:tcW w:w="1680" w:type="dxa"/>
            <w:tcBorders>
              <w:top w:val="nil"/>
              <w:left w:val="single" w:sz="8" w:space="0" w:shadow="0" w:frame="0" w:color="000000"/>
              <w:bottom w:val="nil"/>
              <w:right w:val="single" w:sz="8" w:space="0" w:shadow="0" w:frame="0" w:color="000000"/>
            </w:tcBorders>
            <w:noWrap/>
            <w:tcMar>
              <w:top w:w="0" w:type="dxa"/>
              <w:left w:w="108" w:type="dxa"/>
              <w:bottom w:w="0" w:type="dxa"/>
              <w:right w:w="108" w:type="dxa"/>
            </w:tcMar>
            <w:vAlign w:val="bottom"/>
            <w:hideMark/>
          </w:tcPr>
          <w:p>
            <w:pPr>
              <w:ind w:left="0" w:right="0"/>
              <w:rPr>
                <w:sz w:val="20"/>
              </w:rPr>
            </w:pPr>
          </w:p>
        </w:tc>
      </w:tr>
      <w:tr>
        <w:trPr>
          <w:trHeight w:hRule="atLeast" w:val="195"/>
        </w:trPr>
        <w:tc>
          <w:tcPr>
            <w:tcW w:w="5940" w:type="dxa"/>
            <w:noWrap/>
            <w:tcMar>
              <w:top w:w="0" w:type="dxa"/>
              <w:left w:w="108" w:type="dxa"/>
              <w:bottom w:w="0" w:type="dxa"/>
              <w:right w:w="108" w:type="dxa"/>
            </w:tcMar>
            <w:vAlign w:val="bottom"/>
            <w:hideMark/>
          </w:tcPr>
          <w:p>
            <w:pPr>
              <w:spacing w:lineRule="atLeast" w:line="195"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18"/>
                <w:szCs w:val="18"/>
              </w:rPr>
              <w:t>администратор доходов бюджета,</w:t>
            </w:r>
          </w:p>
        </w:tc>
        <w:tc>
          <w:tcPr>
            <w:tcW w:w="195" w:type="dxa"/>
            <w:noWrap/>
            <w:tcMar>
              <w:top w:w="0" w:type="dxa"/>
              <w:left w:w="108" w:type="dxa"/>
              <w:bottom w:w="0" w:type="dxa"/>
              <w:right w:w="108" w:type="dxa"/>
            </w:tcMar>
            <w:vAlign w:val="bottom"/>
            <w:hideMark/>
          </w:tcPr>
          <w:p>
            <w:pPr>
              <w:ind w:left="0" w:right="0"/>
              <w:rPr>
                <w:sz w:val="20"/>
              </w:rPr>
            </w:pPr>
          </w:p>
        </w:tc>
        <w:tc>
          <w:tcPr>
            <w:tcW w:w="1500" w:type="dxa"/>
            <w:noWrap/>
            <w:tcMar>
              <w:top w:w="0" w:type="dxa"/>
              <w:left w:w="108" w:type="dxa"/>
              <w:bottom w:w="0" w:type="dxa"/>
              <w:right w:w="108" w:type="dxa"/>
            </w:tcMar>
            <w:vAlign w:val="bottom"/>
            <w:hideMark/>
          </w:tcPr>
          <w:p>
            <w:pPr>
              <w:spacing w:lineRule="atLeast" w:line="195" w:before="0" w:after="0" w:beforeAutospacing="0" w:afterAutospacing="0"/>
              <w:ind w:left="0" w:right="0"/>
              <w:jc w:val="right"/>
              <w:rPr>
                <w:rFonts w:ascii="Times New Roman" w:hAnsi="Times New Roman" w:cs="Times New Roman" w:eastAsia="Times New Roman"/>
                <w:sz w:val="24"/>
              </w:rPr>
            </w:pPr>
            <w:r>
              <w:rPr>
                <w:rFonts w:ascii="Times New Roman" w:hAnsi="Times New Roman" w:cs="Times New Roman" w:eastAsia="Times New Roman"/>
                <w:sz w:val="18"/>
                <w:szCs w:val="18"/>
              </w:rPr>
              <w:t>по ОКПО</w:t>
            </w:r>
          </w:p>
        </w:tc>
        <w:tc>
          <w:tcPr>
            <w:tcW w:w="1680" w:type="dxa"/>
            <w:tcBorders>
              <w:top w:val="nil"/>
              <w:left w:val="single" w:sz="8" w:space="0" w:shadow="0" w:frame="0" w:color="000000"/>
              <w:bottom w:val="nil"/>
              <w:right w:val="single" w:sz="8" w:space="0" w:shadow="0" w:frame="0" w:color="000000"/>
            </w:tcBorders>
            <w:noWrap/>
            <w:tcMar>
              <w:top w:w="0" w:type="dxa"/>
              <w:left w:w="108" w:type="dxa"/>
              <w:bottom w:w="0" w:type="dxa"/>
              <w:right w:w="108" w:type="dxa"/>
            </w:tcMar>
            <w:vAlign w:val="bottom"/>
            <w:hideMark/>
          </w:tcPr>
          <w:p>
            <w:pPr>
              <w:spacing w:lineRule="atLeast" w:line="195" w:before="0" w:after="0" w:beforeAutospacing="0" w:afterAutospacing="0"/>
              <w:ind w:left="0" w:right="0"/>
              <w:jc w:val="center"/>
              <w:rPr>
                <w:rFonts w:ascii="Times New Roman" w:hAnsi="Times New Roman" w:cs="Times New Roman" w:eastAsia="Times New Roman"/>
                <w:sz w:val="24"/>
              </w:rPr>
            </w:pPr>
            <w:r>
              <w:rPr>
                <w:rFonts w:ascii="Times New Roman" w:hAnsi="Times New Roman" w:cs="Times New Roman" w:eastAsia="Times New Roman"/>
                <w:sz w:val="18"/>
                <w:szCs w:val="18"/>
              </w:rPr>
              <w:t>27751786</w:t>
            </w:r>
          </w:p>
        </w:tc>
      </w:tr>
      <w:tr>
        <w:trPr>
          <w:trHeight w:hRule="atLeast" w:val="195"/>
        </w:trPr>
        <w:tc>
          <w:tcPr>
            <w:tcW w:w="5940" w:type="dxa"/>
            <w:noWrap/>
            <w:tcMar>
              <w:top w:w="0" w:type="dxa"/>
              <w:left w:w="108" w:type="dxa"/>
              <w:bottom w:w="0" w:type="dxa"/>
              <w:right w:w="108" w:type="dxa"/>
            </w:tcMar>
            <w:vAlign w:val="bottom"/>
            <w:hideMark/>
          </w:tcPr>
          <w:p>
            <w:pPr>
              <w:spacing w:lineRule="atLeast" w:line="195"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18"/>
                <w:szCs w:val="18"/>
              </w:rPr>
              <w:t xml:space="preserve">главный администратор, администратор </w:t>
            </w:r>
          </w:p>
        </w:tc>
        <w:tc>
          <w:tcPr>
            <w:tcW w:w="195" w:type="dxa"/>
            <w:noWrap/>
            <w:tcMar>
              <w:top w:w="0" w:type="dxa"/>
              <w:left w:w="108" w:type="dxa"/>
              <w:bottom w:w="0" w:type="dxa"/>
              <w:right w:w="108" w:type="dxa"/>
            </w:tcMar>
            <w:vAlign w:val="bottom"/>
            <w:hideMark/>
          </w:tcPr>
          <w:p>
            <w:pPr>
              <w:ind w:left="0" w:right="0"/>
              <w:rPr>
                <w:sz w:val="20"/>
              </w:rPr>
            </w:pPr>
          </w:p>
        </w:tc>
        <w:tc>
          <w:tcPr>
            <w:tcW w:w="1500" w:type="dxa"/>
            <w:noWrap/>
            <w:tcMar>
              <w:top w:w="0" w:type="dxa"/>
              <w:left w:w="108" w:type="dxa"/>
              <w:bottom w:w="0" w:type="dxa"/>
              <w:right w:w="108" w:type="dxa"/>
            </w:tcMar>
            <w:vAlign w:val="bottom"/>
            <w:hideMark/>
          </w:tcPr>
          <w:p>
            <w:pPr>
              <w:ind w:left="0" w:right="0"/>
              <w:rPr>
                <w:sz w:val="20"/>
              </w:rPr>
            </w:pPr>
          </w:p>
        </w:tc>
        <w:tc>
          <w:tcPr>
            <w:tcW w:w="1680" w:type="dxa"/>
            <w:tcBorders>
              <w:top w:val="single" w:sz="8" w:space="0" w:shadow="0" w:frame="0" w:color="000000"/>
              <w:left w:val="single" w:sz="8" w:space="0" w:shadow="0" w:frame="0" w:color="000000"/>
              <w:bottom w:val="nil"/>
              <w:right w:val="single" w:sz="8" w:space="0" w:shadow="0" w:frame="0" w:color="000000"/>
            </w:tcBorders>
            <w:noWrap/>
            <w:tcMar>
              <w:top w:w="0" w:type="dxa"/>
              <w:left w:w="108" w:type="dxa"/>
              <w:bottom w:w="0" w:type="dxa"/>
              <w:right w:w="108" w:type="dxa"/>
            </w:tcMar>
            <w:vAlign w:val="bottom"/>
            <w:hideMark/>
          </w:tcPr>
          <w:p>
            <w:pPr>
              <w:ind w:left="0" w:right="0"/>
              <w:rPr>
                <w:sz w:val="20"/>
              </w:rPr>
            </w:pPr>
          </w:p>
        </w:tc>
      </w:tr>
      <w:tr>
        <w:trPr>
          <w:trHeight w:hRule="atLeast" w:val="195"/>
        </w:trPr>
        <w:tc>
          <w:tcPr>
            <w:tcW w:w="5940" w:type="dxa"/>
            <w:noWrap/>
            <w:tcMar>
              <w:top w:w="0" w:type="dxa"/>
              <w:left w:w="108" w:type="dxa"/>
              <w:bottom w:w="0" w:type="dxa"/>
              <w:right w:w="108" w:type="dxa"/>
            </w:tcMar>
            <w:vAlign w:val="bottom"/>
            <w:hideMark/>
          </w:tcPr>
          <w:p>
            <w:pPr>
              <w:spacing w:lineRule="atLeast" w:line="195"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18"/>
                <w:szCs w:val="18"/>
              </w:rPr>
              <w:t>администратор источников финансирования</w:t>
            </w:r>
          </w:p>
        </w:tc>
        <w:tc>
          <w:tcPr>
            <w:tcW w:w="195" w:type="dxa"/>
            <w:noWrap/>
            <w:tcMar>
              <w:top w:w="0" w:type="dxa"/>
              <w:left w:w="108" w:type="dxa"/>
              <w:bottom w:w="0" w:type="dxa"/>
              <w:right w:w="108" w:type="dxa"/>
            </w:tcMar>
            <w:vAlign w:val="bottom"/>
            <w:hideMark/>
          </w:tcPr>
          <w:p>
            <w:pPr>
              <w:ind w:left="0" w:right="0"/>
              <w:rPr>
                <w:sz w:val="20"/>
              </w:rPr>
            </w:pPr>
          </w:p>
        </w:tc>
        <w:tc>
          <w:tcPr>
            <w:tcW w:w="1500" w:type="dxa"/>
            <w:noWrap/>
            <w:tcMar>
              <w:top w:w="0" w:type="dxa"/>
              <w:left w:w="108" w:type="dxa"/>
              <w:bottom w:w="0" w:type="dxa"/>
              <w:right w:w="108" w:type="dxa"/>
            </w:tcMar>
            <w:vAlign w:val="bottom"/>
            <w:hideMark/>
          </w:tcPr>
          <w:p>
            <w:pPr>
              <w:ind w:left="0" w:right="0"/>
              <w:rPr>
                <w:sz w:val="20"/>
              </w:rPr>
            </w:pPr>
          </w:p>
        </w:tc>
        <w:tc>
          <w:tcPr>
            <w:tcW w:w="1680" w:type="dxa"/>
            <w:tcBorders>
              <w:top w:val="nil"/>
              <w:left w:val="single" w:sz="8" w:space="0" w:shadow="0" w:frame="0" w:color="000000"/>
              <w:bottom w:val="nil"/>
              <w:right w:val="single" w:sz="8" w:space="0" w:shadow="0" w:frame="0" w:color="000000"/>
            </w:tcBorders>
            <w:noWrap/>
            <w:tcMar>
              <w:top w:w="0" w:type="dxa"/>
              <w:left w:w="108" w:type="dxa"/>
              <w:bottom w:w="0" w:type="dxa"/>
              <w:right w:w="108" w:type="dxa"/>
            </w:tcMar>
            <w:vAlign w:val="bottom"/>
            <w:hideMark/>
          </w:tcPr>
          <w:p>
            <w:pPr>
              <w:ind w:left="0" w:right="0"/>
              <w:rPr>
                <w:sz w:val="20"/>
              </w:rPr>
            </w:pPr>
          </w:p>
        </w:tc>
      </w:tr>
      <w:tr>
        <w:tc>
          <w:tcPr>
            <w:tcW w:w="0" w:type="auto"/>
            <w:gridSpan w:val="2"/>
            <w:tcMar>
              <w:top w:w="0" w:type="dxa"/>
              <w:left w:w="108" w:type="dxa"/>
              <w:bottom w:w="0" w:type="dxa"/>
              <w:right w:w="108" w:type="dxa"/>
            </w:tcMar>
            <w:vAlign w:val="bottom"/>
            <w:hideMark/>
          </w:tcPr>
          <w:p>
            <w:pPr>
              <w:spacing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18"/>
                <w:szCs w:val="18"/>
              </w:rPr>
              <w:t xml:space="preserve">дефицита бюджета </w:t>
            </w:r>
            <w:r>
              <w:rPr>
                <w:rFonts w:ascii="Times New Roman" w:hAnsi="Times New Roman" w:cs="Times New Roman" w:eastAsia="Times New Roman"/>
                <w:sz w:val="18"/>
                <w:szCs w:val="18"/>
                <w:u w:val="single"/>
              </w:rPr>
              <w:t>МИНИСТЕРСТВО ЖИЛИЩНО-КОММУНАЛЬНОГО ХОЗЯЙСТВА И ГРАЖДАНСКОЙ ЗАЩИТЫ НАСЕЛЕНИЯ ПЕНЗЕНСКОЙ ОБЛАСТИ</w:t>
            </w:r>
            <w:r>
              <w:rPr>
                <w:rFonts w:ascii="Times New Roman" w:hAnsi="Times New Roman" w:cs="Times New Roman" w:eastAsia="Times New Roman"/>
                <w:sz w:val="18"/>
                <w:szCs w:val="18"/>
              </w:rPr>
              <w:t>         </w:t>
            </w:r>
          </w:p>
          <w:p>
            <w:pPr>
              <w:spacing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24"/>
                <w:szCs w:val="24"/>
              </w:rPr>
              <w:t> </w:t>
            </w:r>
          </w:p>
        </w:tc>
        <w:tc>
          <w:tcPr>
            <w:tcW w:w="1500" w:type="dxa"/>
            <w:noWrap/>
            <w:tcMar>
              <w:top w:w="0" w:type="dxa"/>
              <w:left w:w="108" w:type="dxa"/>
              <w:bottom w:w="0" w:type="dxa"/>
              <w:right w:w="108" w:type="dxa"/>
            </w:tcMar>
            <w:vAlign w:val="bottom"/>
            <w:hideMark/>
          </w:tcPr>
          <w:p>
            <w:pPr>
              <w:spacing w:before="0" w:after="0" w:beforeAutospacing="0" w:afterAutospacing="0"/>
              <w:ind w:left="0" w:right="0"/>
              <w:jc w:val="right"/>
              <w:rPr>
                <w:rFonts w:ascii="Times New Roman" w:hAnsi="Times New Roman" w:cs="Times New Roman" w:eastAsia="Times New Roman"/>
                <w:sz w:val="24"/>
              </w:rPr>
            </w:pPr>
            <w:r>
              <w:rPr>
                <w:rFonts w:ascii="Times New Roman" w:hAnsi="Times New Roman" w:cs="Times New Roman" w:eastAsia="Times New Roman"/>
                <w:sz w:val="18"/>
                <w:szCs w:val="18"/>
              </w:rPr>
              <w:t>Глава по БК</w:t>
            </w:r>
          </w:p>
        </w:tc>
        <w:tc>
          <w:tcPr>
            <w:tcW w:w="1680" w:type="dxa"/>
            <w:tcBorders>
              <w:top w:val="nil"/>
              <w:left w:val="single" w:sz="8" w:space="0" w:shadow="0" w:frame="0" w:color="000000"/>
              <w:bottom w:val="single" w:sz="8" w:space="0" w:shadow="0" w:frame="0" w:color="000000"/>
              <w:right w:val="single" w:sz="8" w:space="0" w:shadow="0" w:frame="0" w:color="000000"/>
            </w:tcBorders>
            <w:noWrap/>
            <w:tcMar>
              <w:top w:w="0" w:type="dxa"/>
              <w:left w:w="108" w:type="dxa"/>
              <w:bottom w:w="0" w:type="dxa"/>
              <w:right w:w="108" w:type="dxa"/>
            </w:tcMar>
            <w:vAlign w:val="bottom"/>
            <w:hideMark/>
          </w:tcPr>
          <w:p>
            <w:pPr>
              <w:spacing w:before="0" w:after="0" w:beforeAutospacing="0" w:afterAutospacing="0"/>
              <w:ind w:left="0" w:right="0"/>
              <w:jc w:val="center"/>
              <w:rPr>
                <w:rFonts w:ascii="Times New Roman" w:hAnsi="Times New Roman" w:cs="Times New Roman" w:eastAsia="Times New Roman"/>
                <w:sz w:val="24"/>
              </w:rPr>
            </w:pPr>
            <w:r>
              <w:rPr>
                <w:rFonts w:ascii="Times New Roman" w:hAnsi="Times New Roman" w:cs="Times New Roman" w:eastAsia="Times New Roman"/>
                <w:sz w:val="18"/>
                <w:szCs w:val="18"/>
              </w:rPr>
              <w:t>840</w:t>
            </w:r>
          </w:p>
        </w:tc>
      </w:tr>
      <w:tr>
        <w:trPr>
          <w:trHeight w:hRule="atLeast" w:val="280"/>
        </w:trPr>
        <w:tc>
          <w:tcPr>
            <w:tcW w:w="5940" w:type="dxa"/>
            <w:noWrap/>
            <w:tcMar>
              <w:top w:w="0" w:type="dxa"/>
              <w:left w:w="108" w:type="dxa"/>
              <w:bottom w:w="0" w:type="dxa"/>
              <w:right w:w="108" w:type="dxa"/>
            </w:tcMar>
            <w:vAlign w:val="bottom"/>
            <w:hideMark/>
          </w:tcPr>
          <w:p>
            <w:pPr>
              <w:spacing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18"/>
                <w:szCs w:val="18"/>
              </w:rPr>
              <w:t xml:space="preserve">Наименование бюджета </w:t>
            </w:r>
          </w:p>
        </w:tc>
        <w:tc>
          <w:tcPr>
            <w:tcW w:w="195" w:type="dxa"/>
            <w:noWrap/>
            <w:tcMar>
              <w:top w:w="0" w:type="dxa"/>
              <w:left w:w="108" w:type="dxa"/>
              <w:bottom w:w="0" w:type="dxa"/>
              <w:right w:w="108" w:type="dxa"/>
            </w:tcMar>
            <w:vAlign w:val="bottom"/>
            <w:hideMark/>
          </w:tcPr>
          <w:p>
            <w:pPr>
              <w:ind w:left="0" w:right="0"/>
              <w:rPr>
                <w:sz w:val="24"/>
              </w:rPr>
            </w:pPr>
          </w:p>
        </w:tc>
        <w:tc>
          <w:tcPr>
            <w:tcW w:w="1500" w:type="dxa"/>
            <w:noWrap/>
            <w:tcMar>
              <w:top w:w="0" w:type="dxa"/>
              <w:left w:w="108" w:type="dxa"/>
              <w:bottom w:w="0" w:type="dxa"/>
              <w:right w:w="108" w:type="dxa"/>
            </w:tcMar>
            <w:vAlign w:val="bottom"/>
            <w:hideMark/>
          </w:tcPr>
          <w:p>
            <w:pPr>
              <w:ind w:left="0" w:right="0"/>
              <w:rPr>
                <w:sz w:val="24"/>
              </w:rPr>
            </w:pPr>
          </w:p>
        </w:tc>
        <w:tc>
          <w:tcPr>
            <w:tcW w:w="1680" w:type="dxa"/>
            <w:tcBorders>
              <w:top w:val="nil"/>
              <w:left w:val="single" w:sz="8" w:space="0" w:shadow="0" w:frame="0" w:color="000000"/>
              <w:bottom w:val="nil"/>
              <w:right w:val="single" w:sz="8" w:space="0" w:shadow="0" w:frame="0" w:color="000000"/>
            </w:tcBorders>
            <w:noWrap/>
            <w:tcMar>
              <w:top w:w="0" w:type="dxa"/>
              <w:left w:w="108" w:type="dxa"/>
              <w:bottom w:w="0" w:type="dxa"/>
              <w:right w:w="108" w:type="dxa"/>
            </w:tcMar>
            <w:vAlign w:val="bottom"/>
            <w:hideMark/>
          </w:tcPr>
          <w:p>
            <w:pPr>
              <w:ind w:left="0" w:right="0"/>
              <w:rPr>
                <w:sz w:val="24"/>
              </w:rPr>
            </w:pPr>
          </w:p>
        </w:tc>
      </w:tr>
      <w:tr>
        <w:trPr>
          <w:trHeight w:hRule="atLeast" w:val="210"/>
        </w:trPr>
        <w:tc>
          <w:tcPr>
            <w:tcW w:w="0" w:type="auto"/>
            <w:gridSpan w:val="2"/>
            <w:noWrap/>
            <w:tcMar>
              <w:top w:w="0" w:type="dxa"/>
              <w:left w:w="108" w:type="dxa"/>
              <w:bottom w:w="0" w:type="dxa"/>
              <w:right w:w="108" w:type="dxa"/>
            </w:tcMar>
            <w:vAlign w:val="bottom"/>
            <w:hideMark/>
          </w:tcPr>
          <w:p>
            <w:pPr>
              <w:spacing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18"/>
                <w:szCs w:val="18"/>
              </w:rPr>
              <w:t xml:space="preserve">(публично-правового образования) </w:t>
            </w:r>
            <w:r>
              <w:rPr>
                <w:rFonts w:ascii="Times New Roman" w:hAnsi="Times New Roman" w:cs="Times New Roman" w:eastAsia="Times New Roman"/>
                <w:sz w:val="18"/>
                <w:szCs w:val="18"/>
                <w:u w:val="single"/>
              </w:rPr>
              <w:t>Бюджет субъекта РФ</w:t>
            </w:r>
            <w:r>
              <w:rPr>
                <w:rFonts w:ascii="Times New Roman" w:hAnsi="Times New Roman" w:cs="Times New Roman" w:eastAsia="Times New Roman"/>
                <w:sz w:val="18"/>
                <w:szCs w:val="18"/>
              </w:rPr>
              <w:t xml:space="preserve"> </w:t>
            </w:r>
          </w:p>
          <w:p>
            <w:pPr>
              <w:spacing w:lineRule="atLeast" w:line="210"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18"/>
                <w:szCs w:val="18"/>
              </w:rPr>
              <w:t xml:space="preserve">   </w:t>
            </w:r>
          </w:p>
        </w:tc>
        <w:tc>
          <w:tcPr>
            <w:tcW w:w="1500" w:type="dxa"/>
            <w:noWrap/>
            <w:tcMar>
              <w:top w:w="0" w:type="dxa"/>
              <w:left w:w="108" w:type="dxa"/>
              <w:bottom w:w="0" w:type="dxa"/>
              <w:right w:w="108" w:type="dxa"/>
            </w:tcMar>
            <w:vAlign w:val="bottom"/>
            <w:hideMark/>
          </w:tcPr>
          <w:p>
            <w:pPr>
              <w:spacing w:lineRule="atLeast" w:line="210" w:before="0" w:after="0" w:beforeAutospacing="0" w:afterAutospacing="0"/>
              <w:ind w:left="0" w:right="0"/>
              <w:jc w:val="right"/>
              <w:rPr>
                <w:rFonts w:ascii="Times New Roman" w:hAnsi="Times New Roman" w:cs="Times New Roman" w:eastAsia="Times New Roman"/>
                <w:sz w:val="24"/>
              </w:rPr>
            </w:pPr>
            <w:r>
              <w:rPr>
                <w:rFonts w:ascii="Times New Roman" w:hAnsi="Times New Roman" w:cs="Times New Roman" w:eastAsia="Times New Roman"/>
                <w:sz w:val="18"/>
                <w:szCs w:val="18"/>
              </w:rPr>
              <w:t>по ОКТМО</w:t>
            </w:r>
          </w:p>
        </w:tc>
        <w:tc>
          <w:tcPr>
            <w:tcW w:w="1680" w:type="dxa"/>
            <w:tcBorders>
              <w:top w:val="nil"/>
              <w:left w:val="single" w:sz="8" w:space="0" w:shadow="0" w:frame="0" w:color="000000"/>
              <w:bottom w:val="nil"/>
              <w:right w:val="single" w:sz="8" w:space="0" w:shadow="0" w:frame="0" w:color="000000"/>
            </w:tcBorders>
            <w:noWrap/>
            <w:tcMar>
              <w:top w:w="0" w:type="dxa"/>
              <w:left w:w="108" w:type="dxa"/>
              <w:bottom w:w="0" w:type="dxa"/>
              <w:right w:w="108" w:type="dxa"/>
            </w:tcMar>
            <w:vAlign w:val="bottom"/>
            <w:hideMark/>
          </w:tcPr>
          <w:p>
            <w:pPr>
              <w:spacing w:lineRule="atLeast" w:line="210" w:before="0" w:after="0" w:beforeAutospacing="0" w:afterAutospacing="0"/>
              <w:ind w:left="0" w:right="0"/>
              <w:jc w:val="center"/>
              <w:rPr>
                <w:rFonts w:ascii="Times New Roman" w:hAnsi="Times New Roman" w:cs="Times New Roman" w:eastAsia="Times New Roman"/>
                <w:sz w:val="24"/>
              </w:rPr>
            </w:pPr>
            <w:r>
              <w:rPr>
                <w:rFonts w:ascii="Times New Roman" w:hAnsi="Times New Roman" w:cs="Times New Roman" w:eastAsia="Times New Roman"/>
                <w:sz w:val="15"/>
                <w:szCs w:val="15"/>
              </w:rPr>
              <w:t>56000000</w:t>
            </w:r>
          </w:p>
        </w:tc>
      </w:tr>
      <w:tr>
        <w:trPr>
          <w:trHeight w:hRule="atLeast" w:val="315"/>
        </w:trPr>
        <w:tc>
          <w:tcPr>
            <w:tcW w:w="5940" w:type="dxa"/>
            <w:noWrap/>
            <w:tcMar>
              <w:top w:w="0" w:type="dxa"/>
              <w:left w:w="108" w:type="dxa"/>
              <w:bottom w:w="0" w:type="dxa"/>
              <w:right w:w="108" w:type="dxa"/>
            </w:tcMar>
            <w:vAlign w:val="bottom"/>
            <w:hideMark/>
          </w:tcPr>
          <w:p>
            <w:pPr>
              <w:spacing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18"/>
                <w:szCs w:val="18"/>
              </w:rPr>
              <w:t>Периодичность:    месячная, квартальная, годовая</w:t>
            </w:r>
          </w:p>
        </w:tc>
        <w:tc>
          <w:tcPr>
            <w:tcW w:w="195" w:type="dxa"/>
            <w:noWrap/>
            <w:tcMar>
              <w:top w:w="0" w:type="dxa"/>
              <w:left w:w="108" w:type="dxa"/>
              <w:bottom w:w="0" w:type="dxa"/>
              <w:right w:w="108" w:type="dxa"/>
            </w:tcMar>
            <w:vAlign w:val="bottom"/>
            <w:hideMark/>
          </w:tcPr>
          <w:p>
            <w:pPr>
              <w:ind w:left="0" w:right="0"/>
              <w:rPr>
                <w:sz w:val="24"/>
              </w:rPr>
            </w:pPr>
          </w:p>
        </w:tc>
        <w:tc>
          <w:tcPr>
            <w:tcW w:w="1500" w:type="dxa"/>
            <w:noWrap/>
            <w:tcMar>
              <w:top w:w="0" w:type="dxa"/>
              <w:left w:w="108" w:type="dxa"/>
              <w:bottom w:w="0" w:type="dxa"/>
              <w:right w:w="108" w:type="dxa"/>
            </w:tcMar>
            <w:vAlign w:val="bottom"/>
            <w:hideMark/>
          </w:tcPr>
          <w:p>
            <w:pPr>
              <w:ind w:left="0" w:right="0"/>
              <w:rPr>
                <w:sz w:val="24"/>
              </w:rPr>
            </w:pPr>
          </w:p>
        </w:tc>
        <w:tc>
          <w:tcPr>
            <w:tcW w:w="1680" w:type="dxa"/>
            <w:tcBorders>
              <w:top w:val="single" w:sz="8" w:space="0" w:shadow="0" w:frame="0" w:color="000000"/>
              <w:left w:val="single" w:sz="8" w:space="0" w:shadow="0" w:frame="0" w:color="000000"/>
              <w:bottom w:val="nil"/>
              <w:right w:val="single" w:sz="8" w:space="0" w:shadow="0" w:frame="0" w:color="000000"/>
            </w:tcBorders>
            <w:noWrap/>
            <w:tcMar>
              <w:top w:w="0" w:type="dxa"/>
              <w:left w:w="108" w:type="dxa"/>
              <w:bottom w:w="0" w:type="dxa"/>
              <w:right w:w="108" w:type="dxa"/>
            </w:tcMar>
            <w:vAlign w:val="bottom"/>
            <w:hideMark/>
          </w:tcPr>
          <w:p>
            <w:pPr>
              <w:ind w:left="0" w:right="0"/>
              <w:rPr>
                <w:sz w:val="24"/>
              </w:rPr>
            </w:pPr>
          </w:p>
        </w:tc>
      </w:tr>
      <w:tr>
        <w:trPr>
          <w:trHeight w:hRule="atLeast" w:val="282"/>
        </w:trPr>
        <w:tc>
          <w:tcPr>
            <w:tcW w:w="0" w:type="auto"/>
            <w:noWrap/>
            <w:tcMar>
              <w:top w:w="0" w:type="dxa"/>
              <w:left w:w="108" w:type="dxa"/>
              <w:bottom w:w="0" w:type="dxa"/>
              <w:right w:w="108" w:type="dxa"/>
            </w:tcMar>
            <w:vAlign w:val="bottom"/>
            <w:hideMark/>
          </w:tcPr>
          <w:p>
            <w:pPr>
              <w:spacing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18"/>
                <w:szCs w:val="18"/>
              </w:rPr>
              <w:t>Единица измерения: руб.</w:t>
            </w:r>
          </w:p>
        </w:tc>
        <w:tc>
          <w:tcPr>
            <w:tcW w:w="195" w:type="dxa"/>
            <w:noWrap/>
            <w:tcMar>
              <w:top w:w="0" w:type="dxa"/>
              <w:left w:w="108" w:type="dxa"/>
              <w:bottom w:w="0" w:type="dxa"/>
              <w:right w:w="108" w:type="dxa"/>
            </w:tcMar>
            <w:vAlign w:val="bottom"/>
            <w:hideMark/>
          </w:tcPr>
          <w:p>
            <w:pPr>
              <w:ind w:left="0" w:right="0"/>
              <w:rPr>
                <w:sz w:val="24"/>
              </w:rPr>
            </w:pPr>
          </w:p>
        </w:tc>
        <w:tc>
          <w:tcPr>
            <w:tcW w:w="1500" w:type="dxa"/>
            <w:noWrap/>
            <w:tcMar>
              <w:top w:w="0" w:type="dxa"/>
              <w:left w:w="108" w:type="dxa"/>
              <w:bottom w:w="0" w:type="dxa"/>
              <w:right w:w="108" w:type="dxa"/>
            </w:tcMar>
            <w:vAlign w:val="bottom"/>
            <w:hideMark/>
          </w:tcPr>
          <w:p>
            <w:pPr>
              <w:spacing w:before="240" w:after="240" w:beforeAutospacing="1" w:afterAutospacing="1"/>
              <w:ind w:left="0" w:right="0"/>
              <w:jc w:val="right"/>
              <w:rPr>
                <w:rFonts w:ascii="Times New Roman" w:hAnsi="Times New Roman" w:cs="Times New Roman" w:eastAsia="Times New Roman"/>
                <w:sz w:val="24"/>
              </w:rPr>
            </w:pPr>
            <w:r>
              <w:rPr>
                <w:rFonts w:ascii="Times New Roman" w:hAnsi="Times New Roman" w:cs="Times New Roman" w:eastAsia="Times New Roman"/>
                <w:sz w:val="18"/>
                <w:szCs w:val="18"/>
              </w:rPr>
              <w:t>    по ОКЕИ</w:t>
            </w:r>
          </w:p>
        </w:tc>
        <w:tc>
          <w:tcPr>
            <w:tcW w:w="1680" w:type="dxa"/>
            <w:tcBorders>
              <w:top w:val="single" w:sz="8" w:space="0" w:shadow="0" w:frame="0" w:color="000000"/>
              <w:left w:val="single" w:sz="8" w:space="0" w:shadow="0" w:frame="0" w:color="000000"/>
              <w:bottom w:val="single" w:sz="8" w:space="0" w:shadow="0" w:frame="0" w:color="000000"/>
              <w:right w:val="single" w:sz="8" w:space="0" w:shadow="0" w:frame="0" w:color="000000"/>
            </w:tcBorders>
            <w:noWrap/>
            <w:tcMar>
              <w:top w:w="0" w:type="dxa"/>
              <w:left w:w="108" w:type="dxa"/>
              <w:bottom w:w="0" w:type="dxa"/>
              <w:right w:w="108" w:type="dxa"/>
            </w:tcMar>
            <w:vAlign w:val="bottom"/>
            <w:hideMark/>
          </w:tcPr>
          <w:p>
            <w:pPr>
              <w:spacing w:before="0" w:after="0" w:beforeAutospacing="0" w:afterAutospacing="0"/>
              <w:ind w:left="0" w:right="0"/>
              <w:jc w:val="center"/>
              <w:rPr>
                <w:rFonts w:ascii="Times New Roman" w:hAnsi="Times New Roman" w:cs="Times New Roman" w:eastAsia="Times New Roman"/>
                <w:sz w:val="24"/>
              </w:rPr>
            </w:pPr>
            <w:r>
              <w:rPr>
                <w:rFonts w:ascii="Times New Roman" w:hAnsi="Times New Roman" w:cs="Times New Roman" w:eastAsia="Times New Roman"/>
                <w:sz w:val="18"/>
                <w:szCs w:val="18"/>
              </w:rPr>
              <w:t>383</w:t>
            </w:r>
          </w:p>
        </w:tc>
      </w:tr>
      <w:tr>
        <w:trPr>
          <w:trHeight w:hRule="atLeast" w:val="282"/>
        </w:trPr>
        <w:tc>
          <w:tcPr>
            <w:tcW w:w="0" w:type="auto"/>
            <w:noWrap/>
            <w:tcMar>
              <w:top w:w="0" w:type="dxa"/>
              <w:left w:w="108" w:type="dxa"/>
              <w:bottom w:w="0" w:type="dxa"/>
              <w:right w:w="108" w:type="dxa"/>
            </w:tcMar>
            <w:vAlign w:val="bottom"/>
            <w:hideMark/>
          </w:tcPr>
          <w:p>
            <w:pPr>
              <w:ind w:left="0" w:right="0"/>
              <w:rPr>
                <w:sz w:val="24"/>
              </w:rPr>
            </w:pPr>
          </w:p>
        </w:tc>
        <w:tc>
          <w:tcPr>
            <w:tcW w:w="195" w:type="dxa"/>
            <w:noWrap/>
            <w:tcMar>
              <w:top w:w="0" w:type="dxa"/>
              <w:left w:w="108" w:type="dxa"/>
              <w:bottom w:w="0" w:type="dxa"/>
              <w:right w:w="108" w:type="dxa"/>
            </w:tcMar>
            <w:vAlign w:val="bottom"/>
            <w:hideMark/>
          </w:tcPr>
          <w:p>
            <w:pPr>
              <w:ind w:left="0" w:right="0"/>
              <w:rPr>
                <w:sz w:val="24"/>
              </w:rPr>
            </w:pPr>
          </w:p>
        </w:tc>
        <w:tc>
          <w:tcPr>
            <w:tcW w:w="1500" w:type="dxa"/>
            <w:noWrap/>
            <w:tcMar>
              <w:top w:w="0" w:type="dxa"/>
              <w:left w:w="108" w:type="dxa"/>
              <w:bottom w:w="0" w:type="dxa"/>
              <w:right w:w="108" w:type="dxa"/>
            </w:tcMar>
            <w:vAlign w:val="bottom"/>
            <w:hideMark/>
          </w:tcPr>
          <w:p>
            <w:pPr>
              <w:ind w:left="0" w:right="0"/>
              <w:rPr>
                <w:sz w:val="24"/>
              </w:rPr>
            </w:pPr>
          </w:p>
        </w:tc>
        <w:tc>
          <w:tcPr>
            <w:tcW w:w="1680" w:type="dxa"/>
            <w:noWrap/>
            <w:tcMar>
              <w:top w:w="0" w:type="dxa"/>
              <w:left w:w="108" w:type="dxa"/>
              <w:bottom w:w="0" w:type="dxa"/>
              <w:right w:w="108" w:type="dxa"/>
            </w:tcMar>
            <w:vAlign w:val="bottom"/>
            <w:hideMark/>
          </w:tcPr>
          <w:p>
            <w:pPr>
              <w:ind w:left="0" w:right="0"/>
              <w:rPr>
                <w:sz w:val="24"/>
              </w:rPr>
            </w:pPr>
          </w:p>
        </w:tc>
      </w:tr>
      <w:tr>
        <w:trPr>
          <w:trHeight w:hRule="atLeast" w:val="282"/>
        </w:trPr>
        <w:tc>
          <w:tcPr>
            <w:tcW w:w="0" w:type="auto"/>
            <w:gridSpan w:val="4"/>
            <w:noWrap/>
            <w:tcMar>
              <w:top w:w="0" w:type="dxa"/>
              <w:left w:w="108" w:type="dxa"/>
              <w:bottom w:w="0" w:type="dxa"/>
              <w:right w:w="108" w:type="dxa"/>
            </w:tcMar>
            <w:vAlign w:val="bottom"/>
            <w:hideMark/>
          </w:tcPr>
          <w:p>
            <w:pPr>
              <w:ind w:left="0" w:right="0"/>
              <w:rPr>
                <w:sz w:val="24"/>
              </w:rPr>
            </w:pPr>
          </w:p>
        </w:tc>
      </w:tr>
    </w:tbl>
    <w:p>
      <w:pPr>
        <w:spacing w:before="0" w:after="0" w:beforeAutospacing="0" w:afterAutospacing="0"/>
        <w:ind w:firstLine="0" w:left="0" w:right="0"/>
        <w:jc w:val="center"/>
        <w:outlineLvl w:val="9"/>
      </w:pPr>
      <w:r>
        <w:rPr>
          <w:rFonts w:ascii="Times New Roman" w:hAnsi="Times New Roman" w:cs="Times New Roman" w:eastAsia="Times New Roman"/>
          <w:b w:val="1"/>
          <w:i w:val="0"/>
          <w:color w:val="000000"/>
          <w:sz w:val="28"/>
          <w:szCs w:val="28"/>
        </w:rPr>
        <w:t>1.Организационная структура</w:t>
      </w:r>
    </w:p>
    <w:p>
      <w:pPr>
        <w:spacing w:before="0" w:after="0" w:beforeAutospacing="0" w:afterAutospacing="0"/>
        <w:ind w:firstLine="0" w:left="0" w:right="0"/>
        <w:jc w:val="center"/>
        <w:outlineLvl w:val="9"/>
      </w:pPr>
      <w:r>
        <w:rPr>
          <w:rFonts w:ascii="Times New Roman" w:hAnsi="Times New Roman" w:cs="Times New Roman" w:eastAsia="Times New Roman"/>
          <w:b w:val="1"/>
          <w:i w:val="0"/>
          <w:color w:val="000000"/>
          <w:sz w:val="28"/>
          <w:szCs w:val="28"/>
        </w:rPr>
        <w:t> </w:t>
      </w:r>
    </w:p>
    <w:p>
      <w:pPr>
        <w:spacing w:before="0" w:after="0" w:beforeAutospacing="0" w:afterAutospacing="0"/>
        <w:ind w:firstLine="720" w:left="0" w:right="0"/>
        <w:jc w:val="both"/>
        <w:outlineLvl w:val="9"/>
      </w:pPr>
      <w:r>
        <w:rPr>
          <w:rFonts w:ascii="Times New Roman" w:hAnsi="Times New Roman" w:cs="Times New Roman" w:eastAsia="Times New Roman"/>
          <w:b w:val="0"/>
          <w:i w:val="0"/>
          <w:color w:val="000000"/>
          <w:sz w:val="28"/>
          <w:szCs w:val="28"/>
        </w:rPr>
        <w:t>Полное наименование: Министерство</w:t>
      </w:r>
      <w:r>
        <w:rPr>
          <w:rFonts w:ascii="Calibri" w:hAnsi="Calibri" w:cs="Calibri" w:eastAsia="Calibri"/>
          <w:b w:val="0"/>
          <w:i w:val="0"/>
          <w:color w:val="000000"/>
          <w:sz w:val="22"/>
          <w:szCs w:val="22"/>
        </w:rPr>
        <w:t xml:space="preserve"> </w:t>
      </w:r>
      <w:r>
        <w:rPr>
          <w:rFonts w:ascii="Times New Roman" w:hAnsi="Times New Roman" w:cs="Times New Roman" w:eastAsia="Times New Roman"/>
          <w:b w:val="0"/>
          <w:i w:val="0"/>
          <w:color w:val="000000"/>
          <w:sz w:val="28"/>
          <w:szCs w:val="28"/>
        </w:rPr>
        <w:t xml:space="preserve">жилищно-коммунального хозяйства и гражданской защиты населения Пензенской области. </w:t>
      </w:r>
    </w:p>
    <w:p>
      <w:pPr>
        <w:spacing w:before="0" w:after="0" w:beforeAutospacing="0" w:afterAutospacing="0"/>
        <w:ind w:firstLine="720" w:left="0" w:right="0"/>
        <w:jc w:val="both"/>
        <w:outlineLvl w:val="9"/>
      </w:pPr>
      <w:r>
        <w:rPr>
          <w:rFonts w:ascii="Times New Roman" w:hAnsi="Times New Roman" w:cs="Times New Roman" w:eastAsia="Times New Roman"/>
          <w:b w:val="0"/>
          <w:i w:val="0"/>
          <w:color w:val="000000"/>
          <w:sz w:val="28"/>
          <w:szCs w:val="28"/>
        </w:rPr>
        <w:t xml:space="preserve">Сокращенное наименование: Министерство ЖКХ и ГЗН Пензенской области. </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8"/>
          <w:szCs w:val="28"/>
        </w:rPr>
        <w:t>Юридический адрес:</w:t>
      </w:r>
      <w:r>
        <w:rPr>
          <w:rFonts w:ascii="Times New Roman" w:hAnsi="Times New Roman" w:cs="Times New Roman" w:eastAsia="Times New Roman"/>
          <w:b w:val="1"/>
          <w:i w:val="0"/>
          <w:color w:val="FF0000"/>
          <w:sz w:val="28"/>
          <w:szCs w:val="28"/>
        </w:rPr>
        <w:t xml:space="preserve"> </w:t>
      </w:r>
      <w:r>
        <w:rPr>
          <w:rFonts w:ascii="Times New Roman" w:hAnsi="Times New Roman" w:cs="Times New Roman" w:eastAsia="Times New Roman"/>
          <w:b w:val="0"/>
          <w:i w:val="0"/>
          <w:color w:val="000000"/>
          <w:sz w:val="28"/>
          <w:szCs w:val="28"/>
        </w:rPr>
        <w:t>440000, г. Пенза, ул. Московская, 110.</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8"/>
          <w:szCs w:val="28"/>
        </w:rPr>
        <w:t xml:space="preserve">ИНН: 5836675975, ОГРН:1165835051447. </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8"/>
          <w:szCs w:val="28"/>
        </w:rPr>
        <w:t xml:space="preserve">Организационно-правовая форма  – государственное казенное учреждение. </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8"/>
          <w:szCs w:val="28"/>
        </w:rPr>
        <w:t xml:space="preserve">Код главы главного распорядителя бюджетных средств - 840. </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8"/>
          <w:szCs w:val="28"/>
        </w:rPr>
        <w:t>Код по реестру УБП – 562D0014.</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8"/>
          <w:szCs w:val="28"/>
        </w:rPr>
        <w:t xml:space="preserve">Учредитель – Правительство Пензенской области: г. Пенза, ул. Московская, 75. ИНН: 5836010995, ОГРН 1025801356789. </w:t>
      </w:r>
    </w:p>
    <w:p>
      <w:pPr>
        <w:spacing w:before="0" w:after="0" w:beforeAutospacing="0" w:afterAutospacing="0"/>
        <w:ind w:firstLine="700" w:left="0" w:right="0"/>
        <w:jc w:val="both"/>
        <w:outlineLvl w:val="9"/>
      </w:pPr>
      <w:r>
        <w:rPr>
          <w:rFonts w:ascii="Times New Roman" w:hAnsi="Times New Roman" w:cs="Times New Roman" w:eastAsia="Times New Roman"/>
          <w:b w:val="0"/>
          <w:i w:val="0"/>
          <w:color w:val="000000"/>
          <w:sz w:val="28"/>
          <w:szCs w:val="28"/>
        </w:rPr>
        <w:t>Ведение бухгалтерского учета в части выполнения полномочий главного распорядителя бюджетных средств осуществляется Управлением финансирования целевых программ и бюджетного учета Министерства.</w:t>
      </w:r>
    </w:p>
    <w:p>
      <w:pPr>
        <w:spacing w:lineRule="atLeast" w:line="322" w:before="0" w:after="0" w:beforeAutospacing="0" w:afterAutospacing="0"/>
        <w:ind w:firstLine="680" w:left="40" w:right="20"/>
        <w:jc w:val="both"/>
        <w:outlineLvl w:val="9"/>
      </w:pPr>
      <w:r>
        <w:rPr>
          <w:rFonts w:ascii="Times New Roman" w:hAnsi="Times New Roman" w:cs="Times New Roman" w:eastAsia="Times New Roman"/>
          <w:b w:val="0"/>
          <w:i w:val="0"/>
          <w:color w:val="000000"/>
          <w:sz w:val="28"/>
          <w:szCs w:val="28"/>
        </w:rPr>
        <w:t>Ведение бухгалтерского учета в части выполнения полномочий получателя бюджетных средств в соответствии с договором оказания услуг по ведению бюджетного учета органов исполнительной власти Пензенской области осуществляет ГКУ Пензенской области «Центр бухгалтерского учета» (постановление Правительства Пензенской области от 11.10.2022 № 865-пП).</w:t>
      </w:r>
      <w:r>
        <w:rPr>
          <w:rFonts w:ascii="Times New Roman" w:hAnsi="Times New Roman" w:cs="Times New Roman" w:eastAsia="Times New Roman"/>
          <w:b w:val="1"/>
          <w:i w:val="0"/>
          <w:color w:val="FF0000"/>
          <w:sz w:val="28"/>
          <w:szCs w:val="28"/>
        </w:rPr>
        <w:t xml:space="preserve"> </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8"/>
          <w:szCs w:val="28"/>
        </w:rPr>
        <w:t xml:space="preserve">           Касса для выдачи наличных денежных средств в Министерстве отсутствует. Все расчеты осуществляются в безналичном порядке. </w:t>
      </w:r>
    </w:p>
    <w:p>
      <w:pPr>
        <w:spacing w:before="0" w:after="0" w:beforeAutospacing="0" w:afterAutospacing="0"/>
        <w:ind w:firstLine="0" w:left="0" w:right="0"/>
        <w:jc w:val="left"/>
        <w:outlineLvl w:val="9"/>
      </w:pPr>
      <w:r>
        <w:rPr>
          <w:rFonts w:ascii="Times New Roman" w:hAnsi="Times New Roman" w:cs="Times New Roman" w:eastAsia="Times New Roman"/>
          <w:b w:val="0"/>
          <w:i w:val="0"/>
          <w:color w:val="000000"/>
          <w:sz w:val="28"/>
          <w:szCs w:val="28"/>
        </w:rPr>
        <w:t>Подведомственные учреждения:</w:t>
      </w:r>
    </w:p>
    <w:p>
      <w:pPr>
        <w:spacing w:before="0" w:after="0" w:beforeAutospacing="0" w:afterAutospacing="0"/>
        <w:ind w:firstLine="0" w:left="0" w:right="0"/>
        <w:jc w:val="left"/>
        <w:outlineLvl w:val="9"/>
      </w:pPr>
      <w:r>
        <w:rPr>
          <w:rFonts w:ascii="Times New Roman" w:hAnsi="Times New Roman" w:cs="Times New Roman" w:eastAsia="Times New Roman"/>
          <w:b w:val="0"/>
          <w:i w:val="0"/>
          <w:color w:val="000000"/>
          <w:sz w:val="28"/>
          <w:szCs w:val="28"/>
        </w:rPr>
        <w:t>- ГУ ПО «ППСЦ»;</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8"/>
          <w:szCs w:val="28"/>
        </w:rPr>
        <w:t>- Региональный фонд капитального ремонта многоквартирных домов Пензенской области.</w:t>
      </w:r>
    </w:p>
    <w:p>
      <w:pPr>
        <w:spacing w:before="0" w:after="0" w:beforeAutospacing="0" w:afterAutospacing="0"/>
        <w:ind w:firstLine="700" w:left="0" w:right="0"/>
        <w:jc w:val="both"/>
        <w:outlineLvl w:val="9"/>
      </w:pPr>
      <w:r>
        <w:rPr>
          <w:rFonts w:ascii="Times New Roman" w:hAnsi="Times New Roman" w:cs="Times New Roman" w:eastAsia="Times New Roman"/>
          <w:b w:val="0"/>
          <w:i w:val="0"/>
          <w:color w:val="000000"/>
          <w:sz w:val="28"/>
          <w:szCs w:val="28"/>
        </w:rPr>
        <w:t xml:space="preserve"> Бюджетные полномочия в отчетном периоде у Министерства не изменялись. </w:t>
      </w:r>
    </w:p>
    <w:p>
      <w:pPr>
        <w:spacing w:lineRule="atLeast" w:line="322" w:before="0" w:after="0" w:beforeAutospacing="0" w:afterAutospacing="0"/>
        <w:ind w:firstLine="680" w:left="40" w:right="20"/>
        <w:jc w:val="both"/>
        <w:outlineLvl w:val="9"/>
      </w:pPr>
      <w:r>
        <w:rPr>
          <w:rFonts w:ascii="Times New Roman" w:hAnsi="Times New Roman" w:cs="Times New Roman" w:eastAsia="Times New Roman"/>
          <w:b w:val="0"/>
          <w:i w:val="0"/>
          <w:color w:val="000000"/>
          <w:sz w:val="28"/>
          <w:szCs w:val="28"/>
        </w:rPr>
        <w:t>Министерство жилищно-коммунального хозяйства и гражданской защиты населения Пензенской области является исполнительным органом государственной власти Пензенской области, обеспечивающим проведение государственной политики в сфере жилищно-коммунального хозяйства и гражданской защиты населения на территории Пензенской области.</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xml:space="preserve">Согласно Положения о Министерстве, утвержденного постановлением Правительства Пензенской области от 19.07.2021 № 424-пП «Об утверждении Положения о Министерстве жилищно-коммунального хозяйства и гражданской защиты населения Пензенской области», Министерство является правопреемником по правам и обязанностям Управления жилищно-коммунального хозяйства и гражданской защиты населения Пензенской области (Положение об Управлении жилищно-коммунального хозяйства и гражданской защиты населения Пензенской области, утвержденного постановлением Правительства Пензенской области от 20.01.2016 г. № 28-пП). </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8"/>
          <w:szCs w:val="28"/>
        </w:rPr>
        <w:t>  Основными задачами Министерства являются:</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1. Реализация государственной политики реформирования жилищно-коммунального хозяйства с целью повышения качества жилищно-коммунальных услуг и удовлетворения социальных потребностей населения.</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2. Разработка и реализация региональных целевых программ в системе жилищно-коммунального хозяйства Пензенской области.</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3. Участие в реализации единой государственной политики в области территориальной и гражданской обороны, защиты населения и территорий от чрезвычайных ситуаций природного и техногенного характера, пожарной безопасности на территории Пензенской области.</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4. Разработка и реализация региональных адресных программ переселения граждан из аварийного жилищного фонда.</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5. Проведение работ, связанных с использованием сведений, составляющих государственную тайну, в соответствии с действующим законодательством.</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6. Осуществление регионального государственного жилищного контроля (надзора).</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7. Осуществление регионального государственного лицензионного контроля за осуществлением предпринимательской деятельности по управлению многоквартирными домами.</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8. Государственное регулирование тарифов (цен) на продукцию (товары, работы, услуги) в пределах установленных полномочий.</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9. Организация и осуществление регионального государственного контроля (надзора) в области регулируемых государством цен (тарифов).</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Министерство исполняет функции учредителя в отношении государственного бюджетного учреждения Пензенской области государственного бюджетного учреждения Пензенской области «Пензенский пожарно-спасательный центр», некоммерческой организации «Региональный фонд капитального ремонта многоквартирных домов Пензенской области».</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8"/>
          <w:szCs w:val="28"/>
        </w:rPr>
        <w:t> </w:t>
      </w:r>
    </w:p>
    <w:p>
      <w:pPr>
        <w:spacing w:before="0" w:after="0" w:beforeAutospacing="0" w:afterAutospacing="0"/>
        <w:ind w:firstLine="0" w:left="0" w:right="0"/>
        <w:jc w:val="center"/>
        <w:outlineLvl w:val="9"/>
      </w:pPr>
      <w:r>
        <w:rPr>
          <w:rFonts w:ascii="Times New Roman" w:hAnsi="Times New Roman" w:cs="Times New Roman" w:eastAsia="Times New Roman"/>
          <w:b w:val="1"/>
          <w:i w:val="0"/>
          <w:color w:val="000000"/>
          <w:sz w:val="28"/>
          <w:szCs w:val="28"/>
        </w:rPr>
        <w:t> </w:t>
      </w:r>
    </w:p>
    <w:p>
      <w:pPr>
        <w:spacing w:before="0" w:after="0" w:beforeAutospacing="0" w:afterAutospacing="0"/>
        <w:ind w:firstLine="0" w:left="0" w:right="0"/>
        <w:jc w:val="center"/>
        <w:outlineLvl w:val="9"/>
      </w:pPr>
      <w:r>
        <w:rPr>
          <w:rFonts w:ascii="Times New Roman" w:hAnsi="Times New Roman" w:cs="Times New Roman" w:eastAsia="Times New Roman"/>
          <w:b w:val="1"/>
          <w:i w:val="0"/>
          <w:color w:val="000000"/>
          <w:sz w:val="28"/>
          <w:szCs w:val="28"/>
        </w:rPr>
        <w:t>2. Результаты деятельности субъекта бюджетной отчетности</w:t>
      </w:r>
    </w:p>
    <w:p>
      <w:pPr>
        <w:spacing w:before="0" w:after="0" w:beforeAutospacing="0" w:afterAutospacing="0"/>
        <w:ind w:firstLine="0" w:left="0" w:right="0"/>
        <w:jc w:val="center"/>
        <w:outlineLvl w:val="9"/>
      </w:pPr>
      <w:r>
        <w:rPr>
          <w:rFonts w:ascii="Times New Roman" w:hAnsi="Times New Roman" w:cs="Times New Roman" w:eastAsia="Times New Roman"/>
          <w:b w:val="1"/>
          <w:i w:val="0"/>
          <w:color w:val="000000"/>
          <w:sz w:val="28"/>
          <w:szCs w:val="28"/>
        </w:rPr>
        <w:t> </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Согласно штатному расписанию численность сотрудников Министерства составляет 110 человек. На 1 октября 2024г. фактическая численность составила 103 человек, средняя численность составила 105 человек.</w:t>
      </w:r>
    </w:p>
    <w:p>
      <w:pPr>
        <w:spacing w:before="0" w:after="0" w:beforeAutospacing="0" w:afterAutospacing="0"/>
        <w:ind w:firstLine="720" w:left="0" w:right="0"/>
        <w:jc w:val="both"/>
        <w:outlineLvl w:val="9"/>
      </w:pPr>
      <w:r>
        <w:rPr>
          <w:rFonts w:ascii="Times New Roman" w:hAnsi="Times New Roman" w:cs="Times New Roman" w:eastAsia="Times New Roman"/>
          <w:b w:val="0"/>
          <w:i w:val="0"/>
          <w:color w:val="000000"/>
          <w:sz w:val="28"/>
          <w:szCs w:val="28"/>
        </w:rPr>
        <w:t xml:space="preserve">Показатели расходов на приобретение товаров (работ, услуг) отражены в отчете (ф. 0503127) на 01.10.2024г. Основные средства находятся в исправном техническом состоянии. Потребности в ремонте основных средств в отчетном периоде не было. Недостачи и порчи имущества за отчетный период не выявлено. Основные средства использовались для нужд Министерства по своему целевому назначению. Объектов аренды у учреждения нет. </w:t>
      </w:r>
    </w:p>
    <w:p>
      <w:pPr>
        <w:spacing w:before="0" w:after="0" w:beforeAutospacing="0" w:afterAutospacing="0"/>
        <w:ind w:firstLine="0" w:left="0" w:right="0"/>
        <w:jc w:val="center"/>
        <w:outlineLvl w:val="9"/>
      </w:pPr>
      <w:r>
        <w:rPr>
          <w:rFonts w:ascii="Times New Roman" w:hAnsi="Times New Roman" w:cs="Times New Roman" w:eastAsia="Times New Roman"/>
          <w:b w:val="1"/>
          <w:i w:val="0"/>
          <w:color w:val="000000"/>
          <w:sz w:val="28"/>
          <w:szCs w:val="28"/>
        </w:rPr>
        <w:t> </w:t>
      </w:r>
    </w:p>
    <w:p>
      <w:pPr>
        <w:spacing w:before="0" w:after="0" w:beforeAutospacing="0" w:afterAutospacing="0"/>
        <w:ind w:firstLine="0" w:left="0" w:right="0"/>
        <w:jc w:val="center"/>
        <w:outlineLvl w:val="9"/>
      </w:pPr>
      <w:r>
        <w:rPr>
          <w:rFonts w:ascii="Times New Roman" w:hAnsi="Times New Roman" w:cs="Times New Roman" w:eastAsia="Times New Roman"/>
          <w:b w:val="1"/>
          <w:i w:val="0"/>
          <w:color w:val="000000"/>
          <w:sz w:val="28"/>
          <w:szCs w:val="28"/>
        </w:rPr>
        <w:t>3. Анализ отчета об исполнении бюджета  субъектом бюджетной отчетности</w:t>
      </w:r>
    </w:p>
    <w:p>
      <w:pPr>
        <w:spacing w:before="0" w:after="0" w:beforeAutospacing="0" w:afterAutospacing="0"/>
        <w:ind w:firstLine="0" w:left="0" w:right="0"/>
        <w:jc w:val="center"/>
        <w:outlineLvl w:val="9"/>
      </w:pPr>
      <w:r>
        <w:rPr>
          <w:rFonts w:ascii="Times New Roman" w:hAnsi="Times New Roman" w:cs="Times New Roman" w:eastAsia="Times New Roman"/>
          <w:b w:val="0"/>
          <w:i w:val="0"/>
          <w:color w:val="000000"/>
          <w:sz w:val="28"/>
          <w:szCs w:val="28"/>
        </w:rPr>
        <w:t> </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Утвержденные бюджетные назначения по доходам, администрируемым Министерством на 01.10.2024г. составили 1 045 075 894,96 руб., всего поступило 943 490 029,04 руб. или 90,3 %   от годового плана, в том числе:</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xml:space="preserve">- </w:t>
      </w:r>
      <w:r>
        <w:rPr>
          <w:rFonts w:ascii="Times New Roman" w:hAnsi="Times New Roman" w:cs="Times New Roman" w:eastAsia="Times New Roman"/>
          <w:b w:val="1"/>
          <w:i w:val="1"/>
          <w:color w:val="000000"/>
          <w:sz w:val="28"/>
          <w:szCs w:val="28"/>
        </w:rPr>
        <w:t>840 20225299020000150</w:t>
      </w:r>
      <w:r>
        <w:rPr>
          <w:rFonts w:ascii="Times New Roman" w:hAnsi="Times New Roman" w:cs="Times New Roman" w:eastAsia="Times New Roman"/>
          <w:b w:val="0"/>
          <w:i w:val="0"/>
          <w:color w:val="000000"/>
          <w:sz w:val="28"/>
          <w:szCs w:val="28"/>
        </w:rPr>
        <w:t xml:space="preserve"> субсидии бюджетам субъектов РФ на софинансирование расходных обязательств субъектов РФ, связанных с реализацией федеральной целевой программы "Увековечение памяти погибших при защите Отечества на 2019 - 2024 годы" план - 423 200,00 руб., исполнено 423 2000,00 руб. (100,0%);</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xml:space="preserve">- </w:t>
      </w:r>
      <w:r>
        <w:rPr>
          <w:rFonts w:ascii="Times New Roman" w:hAnsi="Times New Roman" w:cs="Times New Roman" w:eastAsia="Times New Roman"/>
          <w:b w:val="1"/>
          <w:i w:val="1"/>
          <w:color w:val="000000"/>
          <w:sz w:val="28"/>
          <w:szCs w:val="28"/>
        </w:rPr>
        <w:t>840 20225555020000150</w:t>
      </w:r>
      <w:r>
        <w:rPr>
          <w:rFonts w:ascii="Times New Roman" w:hAnsi="Times New Roman" w:cs="Times New Roman" w:eastAsia="Times New Roman"/>
          <w:b w:val="0"/>
          <w:i w:val="0"/>
          <w:color w:val="000000"/>
          <w:sz w:val="28"/>
          <w:szCs w:val="28"/>
        </w:rPr>
        <w:t xml:space="preserve"> субсидии бюджетам субъектов РФ на реализацию программ формирования современной городской среды план - 308 142 200,00 руб., исполнено 256 402 487,68 руб. (83,2%);</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xml:space="preserve">- </w:t>
      </w:r>
      <w:r>
        <w:rPr>
          <w:rFonts w:ascii="Times New Roman" w:hAnsi="Times New Roman" w:cs="Times New Roman" w:eastAsia="Times New Roman"/>
          <w:b w:val="1"/>
          <w:i w:val="1"/>
          <w:color w:val="000000"/>
          <w:sz w:val="28"/>
          <w:szCs w:val="28"/>
        </w:rPr>
        <w:t>840 20245424020000150</w:t>
      </w:r>
      <w:r>
        <w:rPr>
          <w:rFonts w:ascii="Times New Roman" w:hAnsi="Times New Roman" w:cs="Times New Roman" w:eastAsia="Times New Roman"/>
          <w:b w:val="0"/>
          <w:i w:val="0"/>
          <w:color w:val="000000"/>
          <w:sz w:val="28"/>
          <w:szCs w:val="28"/>
        </w:rPr>
        <w:t xml:space="preserve"> межбюджетные трансферты, передаваемые бюджетам субъектов РФ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план - 92 125 100,00 руб., исполнено 92 125 100,00 руб. (100,0%);</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xml:space="preserve">- </w:t>
      </w:r>
      <w:r>
        <w:rPr>
          <w:rFonts w:ascii="Times New Roman" w:hAnsi="Times New Roman" w:cs="Times New Roman" w:eastAsia="Times New Roman"/>
          <w:b w:val="1"/>
          <w:i w:val="1"/>
          <w:color w:val="000000"/>
          <w:sz w:val="28"/>
          <w:szCs w:val="28"/>
        </w:rPr>
        <w:t>840 20302040020000150</w:t>
      </w:r>
      <w:r>
        <w:rPr>
          <w:rFonts w:ascii="Times New Roman" w:hAnsi="Times New Roman" w:cs="Times New Roman" w:eastAsia="Times New Roman"/>
          <w:b w:val="0"/>
          <w:i w:val="0"/>
          <w:color w:val="000000"/>
          <w:sz w:val="28"/>
          <w:szCs w:val="28"/>
        </w:rPr>
        <w:t xml:space="preserve"> безвозмездные поступления в бюджеты субъектов РФ от государственной корпорации - Фонда содействия реформированию ЖКХ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план - 515 168 394,96 руб., поступило 480 915 659,39 руб. (93,4%);</w:t>
      </w:r>
    </w:p>
    <w:p>
      <w:pPr>
        <w:spacing w:before="0" w:after="0" w:beforeAutospacing="0" w:afterAutospacing="0"/>
        <w:ind w:firstLine="540" w:left="0" w:right="0"/>
        <w:jc w:val="both"/>
        <w:outlineLvl w:val="9"/>
      </w:pPr>
      <w:r>
        <w:rPr>
          <w:rFonts w:ascii="Times New Roman" w:hAnsi="Times New Roman" w:cs="Times New Roman" w:eastAsia="Times New Roman"/>
          <w:b w:val="1"/>
          <w:i w:val="1"/>
          <w:color w:val="000000"/>
          <w:sz w:val="28"/>
          <w:szCs w:val="28"/>
        </w:rPr>
        <w:t>- 840 20302080020000150</w:t>
      </w:r>
      <w:r>
        <w:rPr>
          <w:rFonts w:ascii="Times New Roman" w:hAnsi="Times New Roman" w:cs="Times New Roman" w:eastAsia="Times New Roman"/>
          <w:b w:val="0"/>
          <w:i w:val="0"/>
          <w:color w:val="000000"/>
          <w:sz w:val="28"/>
          <w:szCs w:val="28"/>
        </w:rPr>
        <w:t xml:space="preserve"> безвозмездные поступления в бюджеты субъектов Российской Федерации от публично-правовой компании "Фонд развития территорий" на обеспечение мероприятий по модернизации систем коммунальной инфраструктуры план - 127 400 000,00 руб., поступило 111 314 500,00 руб. (87,4%);</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xml:space="preserve">- </w:t>
      </w:r>
      <w:r>
        <w:rPr>
          <w:rFonts w:ascii="Times New Roman" w:hAnsi="Times New Roman" w:cs="Times New Roman" w:eastAsia="Times New Roman"/>
          <w:b w:val="1"/>
          <w:i w:val="1"/>
          <w:color w:val="000000"/>
          <w:sz w:val="28"/>
          <w:szCs w:val="28"/>
        </w:rPr>
        <w:t>840 11602010020000140</w:t>
      </w:r>
      <w:r>
        <w:rPr>
          <w:rFonts w:ascii="Times New Roman" w:hAnsi="Times New Roman" w:cs="Times New Roman" w:eastAsia="Times New Roman"/>
          <w:b w:val="0"/>
          <w:i w:val="0"/>
          <w:color w:val="000000"/>
          <w:sz w:val="28"/>
          <w:szCs w:val="28"/>
        </w:rPr>
        <w:t xml:space="preserve"> административные штрафы, установленные законами субъектов РФ об административных правонарушениях, за нарушение законов и иных нормативных правовых актов субъектов РФ поступило 308 604,61 руб. из плановых 202 000,00 руб. (152,8%);</w:t>
      </w:r>
    </w:p>
    <w:p>
      <w:pPr>
        <w:spacing w:before="0" w:after="0" w:beforeAutospacing="0" w:afterAutospacing="0"/>
        <w:ind w:firstLine="540" w:left="0" w:right="0"/>
        <w:jc w:val="both"/>
        <w:outlineLvl w:val="9"/>
      </w:pPr>
      <w:r>
        <w:rPr>
          <w:rFonts w:ascii="Times New Roman" w:hAnsi="Times New Roman" w:cs="Times New Roman" w:eastAsia="Times New Roman"/>
          <w:b w:val="1"/>
          <w:i w:val="0"/>
          <w:color w:val="000000"/>
          <w:sz w:val="28"/>
          <w:szCs w:val="28"/>
        </w:rPr>
        <w:t xml:space="preserve">- </w:t>
      </w:r>
      <w:r>
        <w:rPr>
          <w:rFonts w:ascii="Times New Roman" w:hAnsi="Times New Roman" w:cs="Times New Roman" w:eastAsia="Times New Roman"/>
          <w:b w:val="1"/>
          <w:i w:val="1"/>
          <w:color w:val="000000"/>
          <w:sz w:val="28"/>
          <w:szCs w:val="28"/>
        </w:rPr>
        <w:t xml:space="preserve">840 11601072010233140 </w:t>
      </w:r>
      <w:r>
        <w:rPr>
          <w:rFonts w:ascii="Times New Roman" w:hAnsi="Times New Roman" w:cs="Times New Roman" w:eastAsia="Times New Roman"/>
          <w:b w:val="0"/>
          <w:i w:val="0"/>
          <w:color w:val="000000"/>
          <w:sz w:val="28"/>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осуществления предпринимательской деятельности по управлению многоквартирными домами</w:t>
      </w:r>
      <w:r>
        <w:rPr>
          <w:rFonts w:ascii="Times New Roman" w:hAnsi="Times New Roman" w:cs="Times New Roman" w:eastAsia="Times New Roman"/>
          <w:b w:val="1"/>
          <w:i w:val="1"/>
          <w:color w:val="000000"/>
          <w:sz w:val="28"/>
          <w:szCs w:val="28"/>
        </w:rPr>
        <w:t>)</w:t>
      </w:r>
      <w:r>
        <w:rPr>
          <w:rFonts w:ascii="Times New Roman" w:hAnsi="Times New Roman" w:cs="Times New Roman" w:eastAsia="Times New Roman"/>
          <w:b w:val="0"/>
          <w:i w:val="0"/>
          <w:color w:val="000000"/>
          <w:sz w:val="28"/>
          <w:szCs w:val="28"/>
        </w:rPr>
        <w:t xml:space="preserve"> поступило 27 344,27 руб. при плане 30 000,00 руб. (91,1%);</w:t>
      </w:r>
    </w:p>
    <w:p>
      <w:pPr>
        <w:spacing w:before="0" w:after="0" w:beforeAutospacing="0" w:afterAutospacing="0"/>
        <w:ind w:firstLine="540" w:left="0" w:right="0"/>
        <w:jc w:val="both"/>
        <w:outlineLvl w:val="9"/>
      </w:pPr>
      <w:r>
        <w:rPr>
          <w:rFonts w:ascii="Times New Roman" w:hAnsi="Times New Roman" w:cs="Times New Roman" w:eastAsia="Times New Roman"/>
          <w:b w:val="1"/>
          <w:i w:val="1"/>
          <w:color w:val="000000"/>
          <w:sz w:val="28"/>
          <w:szCs w:val="28"/>
        </w:rPr>
        <w:t xml:space="preserve">- 840 11601072019000140 </w:t>
      </w:r>
      <w:r>
        <w:rPr>
          <w:rFonts w:ascii="Times New Roman" w:hAnsi="Times New Roman" w:cs="Times New Roman" w:eastAsia="Times New Roman"/>
          <w:b w:val="0"/>
          <w:i w:val="0"/>
          <w:color w:val="000000"/>
          <w:sz w:val="28"/>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 поступило 64 930,15 руб. из плановых 60 000,00 руб. (108,2%);</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xml:space="preserve">- </w:t>
      </w:r>
      <w:r>
        <w:rPr>
          <w:rFonts w:ascii="Times New Roman" w:hAnsi="Times New Roman" w:cs="Times New Roman" w:eastAsia="Times New Roman"/>
          <w:b w:val="1"/>
          <w:i w:val="1"/>
          <w:color w:val="000000"/>
          <w:sz w:val="28"/>
          <w:szCs w:val="28"/>
        </w:rPr>
        <w:t xml:space="preserve">840 11601092019000140 </w:t>
      </w:r>
      <w:r>
        <w:rPr>
          <w:rFonts w:ascii="Times New Roman" w:hAnsi="Times New Roman" w:cs="Times New Roman" w:eastAsia="Times New Roman"/>
          <w:b w:val="0"/>
          <w:i w:val="0"/>
          <w:color w:val="000000"/>
          <w:sz w:val="28"/>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 поступило 3 000,00 руб., при плане 4 000,00 руб. (75,0%);</w:t>
      </w:r>
    </w:p>
    <w:p>
      <w:pPr>
        <w:spacing w:before="0" w:after="0" w:beforeAutospacing="0" w:afterAutospacing="0"/>
        <w:ind w:firstLine="540" w:left="0" w:right="0"/>
        <w:jc w:val="both"/>
        <w:outlineLvl w:val="9"/>
      </w:pPr>
      <w:r>
        <w:rPr>
          <w:rFonts w:ascii="Times New Roman" w:hAnsi="Times New Roman" w:cs="Times New Roman" w:eastAsia="Times New Roman"/>
          <w:b w:val="1"/>
          <w:i w:val="1"/>
          <w:color w:val="000000"/>
          <w:sz w:val="28"/>
          <w:szCs w:val="28"/>
        </w:rPr>
        <w:t xml:space="preserve">- 840 11601142019002140 </w:t>
      </w:r>
      <w:r>
        <w:rPr>
          <w:rFonts w:ascii="Times New Roman" w:hAnsi="Times New Roman" w:cs="Times New Roman" w:eastAsia="Times New Roman"/>
          <w:b w:val="0"/>
          <w:i w:val="0"/>
          <w:color w:val="000000"/>
          <w:sz w:val="28"/>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 за исключением штрафов за административные правонарушения в области производства и оборота этилового спирта, алкогольной и спиртосодержащей продукции) при плане 1 400 000,00 руб. поступило - 1 898 571,02 руб. (135,6%);</w:t>
      </w:r>
    </w:p>
    <w:p>
      <w:pPr>
        <w:spacing w:before="0" w:after="0" w:beforeAutospacing="0" w:afterAutospacing="0"/>
        <w:ind w:firstLine="540" w:left="0" w:right="0"/>
        <w:jc w:val="both"/>
        <w:outlineLvl w:val="9"/>
      </w:pPr>
      <w:r>
        <w:rPr>
          <w:rFonts w:ascii="Times New Roman" w:hAnsi="Times New Roman" w:cs="Times New Roman" w:eastAsia="Times New Roman"/>
          <w:b w:val="1"/>
          <w:i w:val="1"/>
          <w:color w:val="000000"/>
          <w:sz w:val="28"/>
          <w:szCs w:val="28"/>
        </w:rPr>
        <w:t xml:space="preserve">- 840 11601192010005140 </w:t>
      </w:r>
      <w:r>
        <w:rPr>
          <w:rFonts w:ascii="Times New Roman" w:hAnsi="Times New Roman" w:cs="Times New Roman" w:eastAsia="Times New Roman"/>
          <w:b w:val="0"/>
          <w:i w:val="0"/>
          <w:color w:val="000000"/>
          <w:sz w:val="28"/>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 план 1 000,00 руб., поступило 63,12 руб. (6,3%);</w:t>
      </w:r>
    </w:p>
    <w:p>
      <w:pPr>
        <w:spacing w:before="0" w:after="0" w:beforeAutospacing="0" w:afterAutospacing="0"/>
        <w:ind w:firstLine="540" w:left="0" w:right="0"/>
        <w:jc w:val="both"/>
        <w:outlineLvl w:val="9"/>
      </w:pPr>
      <w:r>
        <w:rPr>
          <w:rFonts w:ascii="Times New Roman" w:hAnsi="Times New Roman" w:cs="Times New Roman" w:eastAsia="Times New Roman"/>
          <w:b w:val="1"/>
          <w:i w:val="1"/>
          <w:color w:val="000000"/>
          <w:sz w:val="28"/>
          <w:szCs w:val="28"/>
        </w:rPr>
        <w:t>- 840 10807400011000110</w:t>
      </w:r>
      <w:r>
        <w:rPr>
          <w:rFonts w:ascii="Times New Roman" w:hAnsi="Times New Roman" w:cs="Times New Roman" w:eastAsia="Times New Roman"/>
          <w:b w:val="0"/>
          <w:i w:val="0"/>
          <w:color w:val="000000"/>
          <w:sz w:val="28"/>
          <w:szCs w:val="28"/>
        </w:rPr>
        <w:t xml:space="preserve"> 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 (сумма платежа (перерасчеты, недоимка и задолженность по соответствующему платежу, в том числе по отмененному) план 120 000,00 руб.;</w:t>
      </w:r>
    </w:p>
    <w:p>
      <w:pPr>
        <w:spacing w:before="0" w:after="0" w:beforeAutospacing="0" w:afterAutospacing="0"/>
        <w:ind w:firstLine="540" w:left="0" w:right="0"/>
        <w:jc w:val="both"/>
        <w:outlineLvl w:val="9"/>
      </w:pPr>
      <w:r>
        <w:rPr>
          <w:rFonts w:ascii="Times New Roman" w:hAnsi="Times New Roman" w:cs="Times New Roman" w:eastAsia="Times New Roman"/>
          <w:b w:val="1"/>
          <w:i w:val="1"/>
          <w:color w:val="000000"/>
          <w:sz w:val="28"/>
          <w:szCs w:val="28"/>
        </w:rPr>
        <w:t>- 840 11302992020000130</w:t>
      </w:r>
      <w:r>
        <w:rPr>
          <w:rFonts w:ascii="Times New Roman" w:hAnsi="Times New Roman" w:cs="Times New Roman" w:eastAsia="Times New Roman"/>
          <w:b w:val="0"/>
          <w:i w:val="0"/>
          <w:color w:val="000000"/>
          <w:sz w:val="28"/>
          <w:szCs w:val="28"/>
        </w:rPr>
        <w:t xml:space="preserve"> прочие доходы от компенсации затрат бюджетов субъектов Российской Федерации поступило 6 568,80 руб.</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Кассовые расходы на 1 октября 2024 года из плановых показателей в сумме 2 170 779 751,39 руб. составили 1 585 382 952,17 руб. или 76,2%.</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xml:space="preserve">В рамках Государственной программы Пензенской области «Обеспечение жильем и коммунальными услугами населения Пензенской области на 2014 - 2027 годы» расходы на содержание аппарата по целевым статьям </w:t>
      </w:r>
      <w:r>
        <w:rPr>
          <w:rFonts w:ascii="Times New Roman" w:hAnsi="Times New Roman" w:cs="Times New Roman" w:eastAsia="Times New Roman"/>
          <w:b w:val="1"/>
          <w:i w:val="1"/>
          <w:color w:val="000000"/>
          <w:sz w:val="28"/>
          <w:szCs w:val="28"/>
        </w:rPr>
        <w:t> 840 8010002100</w:t>
      </w:r>
      <w:r>
        <w:rPr>
          <w:rFonts w:ascii="Times New Roman" w:hAnsi="Times New Roman" w:cs="Times New Roman" w:eastAsia="Times New Roman"/>
          <w:b w:val="0"/>
          <w:i w:val="0"/>
          <w:color w:val="000000"/>
          <w:sz w:val="28"/>
          <w:szCs w:val="28"/>
        </w:rPr>
        <w:t xml:space="preserve">, </w:t>
      </w:r>
      <w:r>
        <w:rPr>
          <w:rFonts w:ascii="Times New Roman" w:hAnsi="Times New Roman" w:cs="Times New Roman" w:eastAsia="Times New Roman"/>
          <w:b w:val="1"/>
          <w:i w:val="1"/>
          <w:color w:val="000000"/>
          <w:sz w:val="28"/>
          <w:szCs w:val="28"/>
        </w:rPr>
        <w:t>840 8010002200</w:t>
      </w:r>
      <w:r>
        <w:rPr>
          <w:rFonts w:ascii="Times New Roman" w:hAnsi="Times New Roman" w:cs="Times New Roman" w:eastAsia="Times New Roman"/>
          <w:b w:val="0"/>
          <w:i w:val="0"/>
          <w:color w:val="000000"/>
          <w:sz w:val="28"/>
          <w:szCs w:val="28"/>
        </w:rPr>
        <w:t xml:space="preserve">  составили 100 914 031,56 руб. при годовом плане 139 690 848,18 руб., т.е. 72,2%, в том числе:</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xml:space="preserve">- на оплату труда и начисления на выплаты по оплате труда –  98 408 419,04 руб., </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больничные - 407 925,91 руб.;</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на выплату командировочных расходов (транс. услуги, суточные, проживание)  –  230 493,30 руб.,</w:t>
      </w:r>
    </w:p>
    <w:p>
      <w:pPr>
        <w:spacing w:before="0" w:after="0" w:beforeAutospacing="0" w:afterAutospacing="0"/>
        <w:ind w:firstLine="540" w:left="0" w:right="0"/>
        <w:jc w:val="left"/>
        <w:outlineLvl w:val="9"/>
      </w:pPr>
      <w:r>
        <w:rPr>
          <w:rFonts w:ascii="Times New Roman" w:hAnsi="Times New Roman" w:cs="Times New Roman" w:eastAsia="Times New Roman"/>
          <w:b w:val="0"/>
          <w:i w:val="0"/>
          <w:color w:val="000000"/>
          <w:sz w:val="28"/>
          <w:szCs w:val="28"/>
        </w:rPr>
        <w:t>- оплата прочих работ, услуг – 1 867 193,31 руб.</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0505 8030021220 244 226</w:t>
      </w:r>
      <w:r>
        <w:rPr>
          <w:rFonts w:ascii="Times New Roman" w:hAnsi="Times New Roman" w:cs="Times New Roman" w:eastAsia="Times New Roman"/>
          <w:b w:val="0"/>
          <w:i w:val="0"/>
          <w:color w:val="000000"/>
          <w:sz w:val="28"/>
          <w:szCs w:val="28"/>
        </w:rPr>
        <w:t xml:space="preserve"> расходы на реализацию Закона Пензенской области «О звании «Почетный гражданин Пензенской области» лимиты в сумме 200 000,00 руб. выплачивается по заявлению о возмещении расходов на погребение почетного гражданина Пензенской области. </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0113 8020074310 530 251</w:t>
      </w:r>
      <w:r>
        <w:rPr>
          <w:rFonts w:ascii="Times New Roman" w:hAnsi="Times New Roman" w:cs="Times New Roman" w:eastAsia="Times New Roman"/>
          <w:b w:val="0"/>
          <w:i w:val="0"/>
          <w:color w:val="000000"/>
          <w:sz w:val="28"/>
          <w:szCs w:val="28"/>
        </w:rPr>
        <w:t xml:space="preserve"> перечислено субвенции на исполнение государственных полномочий в сфере административных правоотношений в сумме 16 330 072,30  руб. из годового плана 23 276 600,00 руб., что составляет 70,2 %.</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0502 1530171350 521 251</w:t>
      </w:r>
      <w:r>
        <w:rPr>
          <w:rFonts w:ascii="Times New Roman" w:hAnsi="Times New Roman" w:cs="Times New Roman" w:eastAsia="Times New Roman"/>
          <w:b w:val="0"/>
          <w:i w:val="0"/>
          <w:color w:val="000000"/>
          <w:sz w:val="28"/>
          <w:szCs w:val="28"/>
        </w:rPr>
        <w:t xml:space="preserve"> в сумме 84 248 127,91 руб. субсидия на капитальный ремонт и ремонт сетей и сооружений водоснабжения в населенных пунктах Пензенской области. Освоено 48 750 334,49 руб. (57,9%).</w:t>
      </w:r>
    </w:p>
    <w:p>
      <w:pPr>
        <w:spacing w:before="0" w:after="0" w:beforeAutospacing="0" w:afterAutospacing="0"/>
        <w:ind w:firstLine="72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0502 1530171370 522 254</w:t>
      </w:r>
      <w:r>
        <w:rPr>
          <w:rFonts w:ascii="Times New Roman" w:hAnsi="Times New Roman" w:cs="Times New Roman" w:eastAsia="Times New Roman"/>
          <w:b w:val="0"/>
          <w:i w:val="0"/>
          <w:color w:val="000000"/>
          <w:sz w:val="28"/>
          <w:szCs w:val="28"/>
        </w:rPr>
        <w:t xml:space="preserve"> в сумме 11 346 132,00 руб. субсидии на строительство и реконструкцию сетей и сооружений водоснабжения в населенных пунктах Пензенской области. Осноено 11 346 132,00 руб. (100,0%).</w:t>
      </w:r>
    </w:p>
    <w:p>
      <w:pPr>
        <w:spacing w:before="0" w:after="0" w:beforeAutospacing="0" w:afterAutospacing="0"/>
        <w:ind w:firstLine="72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0502 0540465210 244 226</w:t>
      </w:r>
      <w:r>
        <w:rPr>
          <w:rFonts w:ascii="Times New Roman" w:hAnsi="Times New Roman" w:cs="Times New Roman" w:eastAsia="Times New Roman"/>
          <w:b w:val="0"/>
          <w:i w:val="0"/>
          <w:color w:val="000000"/>
          <w:sz w:val="28"/>
          <w:szCs w:val="28"/>
        </w:rPr>
        <w:t xml:space="preserve"> в отчетном периоде перечислена плата за хранение аварийного резерва на сумму 521 200,00 руб. (66,6%) из запланированных на год 782 160,00 руб.</w:t>
      </w:r>
    </w:p>
    <w:p>
      <w:pPr>
        <w:spacing w:before="0" w:after="0" w:beforeAutospacing="0" w:afterAutospacing="0"/>
        <w:ind w:firstLine="72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0502 0540465210 244 346</w:t>
      </w:r>
      <w:r>
        <w:rPr>
          <w:rFonts w:ascii="Times New Roman" w:hAnsi="Times New Roman" w:cs="Times New Roman" w:eastAsia="Times New Roman"/>
          <w:b w:val="0"/>
          <w:i w:val="0"/>
          <w:color w:val="000000"/>
          <w:sz w:val="28"/>
          <w:szCs w:val="28"/>
        </w:rPr>
        <w:t xml:space="preserve"> в целях увеличения аварийного резерва материально-технических ресурсов для предупреждения ситуаций, которые могут привести к нарушению функционирования систем жизнеобеспечения населения и ликвидации их последствий на объектах жилищно-коммунального хозяйства Пензенской области, созданного согласно постановления Правительства Пензенской области от 27.10.2006 г. № 687-пП, закупка материально - технических ресурсов на сумму 15 617 840,00 руб. Освоено в 3 квартале 2024 года 7 692 540,16 руб. (49,3%). </w:t>
      </w:r>
    </w:p>
    <w:p>
      <w:pPr>
        <w:spacing w:before="0" w:after="0" w:beforeAutospacing="0" w:afterAutospacing="0"/>
        <w:ind w:firstLine="72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0502 1530171380</w:t>
      </w:r>
      <w:r>
        <w:rPr>
          <w:rFonts w:ascii="Times New Roman" w:hAnsi="Times New Roman" w:cs="Times New Roman" w:eastAsia="Times New Roman"/>
          <w:b w:val="0"/>
          <w:i w:val="0"/>
          <w:color w:val="000000"/>
          <w:sz w:val="28"/>
          <w:szCs w:val="28"/>
        </w:rPr>
        <w:t xml:space="preserve"> </w:t>
      </w:r>
      <w:r>
        <w:rPr>
          <w:rFonts w:ascii="Times New Roman" w:hAnsi="Times New Roman" w:cs="Times New Roman" w:eastAsia="Times New Roman"/>
          <w:b w:val="1"/>
          <w:i w:val="1"/>
          <w:color w:val="000000"/>
          <w:sz w:val="28"/>
          <w:szCs w:val="28"/>
        </w:rPr>
        <w:t>521 254</w:t>
      </w:r>
      <w:r>
        <w:rPr>
          <w:rFonts w:ascii="Times New Roman" w:hAnsi="Times New Roman" w:cs="Times New Roman" w:eastAsia="Times New Roman"/>
          <w:b w:val="0"/>
          <w:i w:val="0"/>
          <w:color w:val="000000"/>
          <w:sz w:val="28"/>
          <w:szCs w:val="28"/>
        </w:rPr>
        <w:t xml:space="preserve"> закупка коммунальной техники при плане 73 098 900,00 руб., освоено 72 737 268,55 руб. (99,5%).</w:t>
      </w:r>
    </w:p>
    <w:p>
      <w:pPr>
        <w:spacing w:before="0" w:after="0" w:beforeAutospacing="0" w:afterAutospacing="0"/>
        <w:ind w:firstLine="72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 xml:space="preserve">КБК 840 0502 1530171560 521 251 </w:t>
      </w:r>
      <w:r>
        <w:rPr>
          <w:rFonts w:ascii="Times New Roman" w:hAnsi="Times New Roman" w:cs="Times New Roman" w:eastAsia="Times New Roman"/>
          <w:b w:val="0"/>
          <w:i w:val="0"/>
          <w:color w:val="000000"/>
          <w:sz w:val="28"/>
          <w:szCs w:val="28"/>
        </w:rPr>
        <w:t xml:space="preserve">субсидии на реконструкцию (модернизацию) и капитальный ремонт тепловых сетей и сооружений в населенных пунктах Пензенской области план 27 266 785,65 руб. Освоено 19 911 098,69 руб. (73,0%). </w:t>
      </w:r>
    </w:p>
    <w:p>
      <w:pPr>
        <w:spacing w:before="0" w:after="0" w:beforeAutospacing="0" w:afterAutospacing="0"/>
        <w:ind w:firstLine="72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0502 1530171570 522 254</w:t>
      </w:r>
      <w:r>
        <w:rPr>
          <w:rFonts w:ascii="Times New Roman" w:hAnsi="Times New Roman" w:cs="Times New Roman" w:eastAsia="Times New Roman"/>
          <w:b w:val="0"/>
          <w:i w:val="0"/>
          <w:color w:val="000000"/>
          <w:sz w:val="28"/>
          <w:szCs w:val="28"/>
        </w:rPr>
        <w:t xml:space="preserve"> субсидии на строительство объектов и сетей теплоснабжения в населенных пунктах Пензенской области при плане 52 343 000,00 руб., освоено 15 702 899,99 руб. (30,0%).</w:t>
      </w:r>
    </w:p>
    <w:p>
      <w:pPr>
        <w:spacing w:before="0" w:after="0" w:beforeAutospacing="0" w:afterAutospacing="0"/>
        <w:ind w:firstLine="72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0502 1520109505 521 251</w:t>
      </w:r>
      <w:r>
        <w:rPr>
          <w:rFonts w:ascii="Times New Roman" w:hAnsi="Times New Roman" w:cs="Times New Roman" w:eastAsia="Times New Roman"/>
          <w:b w:val="0"/>
          <w:i w:val="0"/>
          <w:color w:val="000000"/>
          <w:sz w:val="28"/>
          <w:szCs w:val="28"/>
        </w:rPr>
        <w:t xml:space="preserve"> субсидии на обеспечение мероприятий по модернизации систем коммунальной инфраструктуры за счет средств публично-правовой компании «Фонд развития территорий» план 41 032 000,00 руб., освоено 1 765 000,00 руб. (4,3%).</w:t>
      </w:r>
    </w:p>
    <w:p>
      <w:pPr>
        <w:spacing w:before="0" w:after="0" w:beforeAutospacing="0" w:afterAutospacing="0"/>
        <w:ind w:firstLine="72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0502 1520109505 522 254</w:t>
      </w:r>
      <w:r>
        <w:rPr>
          <w:rFonts w:ascii="Times New Roman" w:hAnsi="Times New Roman" w:cs="Times New Roman" w:eastAsia="Times New Roman"/>
          <w:b w:val="0"/>
          <w:i w:val="0"/>
          <w:color w:val="000000"/>
          <w:sz w:val="28"/>
          <w:szCs w:val="28"/>
        </w:rPr>
        <w:t xml:space="preserve"> субсидии на обеспечение мероприятий по модернизации систем коммунальной инфраструктуры за счет средств публично-правовой компании «Фонд развития территорий» план 37 641 000,00 руб., планируется к освоению в 4 квартале 2024 года. </w:t>
      </w:r>
    </w:p>
    <w:p>
      <w:pPr>
        <w:spacing w:before="0" w:after="0" w:beforeAutospacing="0" w:afterAutospacing="0"/>
        <w:ind w:firstLine="72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0502 1520109605 521 251</w:t>
      </w:r>
      <w:r>
        <w:rPr>
          <w:rFonts w:ascii="Times New Roman" w:hAnsi="Times New Roman" w:cs="Times New Roman" w:eastAsia="Times New Roman"/>
          <w:b w:val="0"/>
          <w:i w:val="0"/>
          <w:color w:val="000000"/>
          <w:sz w:val="28"/>
          <w:szCs w:val="28"/>
        </w:rPr>
        <w:t xml:space="preserve"> субсидии на обеспечение мероприятий по модернизации систем коммунальной инфраструктуры за счет средств бюджета Пензенской области план 4 000,00 руб., освоено 4 000,00 руб.(100,0%). </w:t>
      </w:r>
    </w:p>
    <w:p>
      <w:pPr>
        <w:spacing w:before="0" w:after="0" w:beforeAutospacing="0" w:afterAutospacing="0"/>
        <w:ind w:firstLine="72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0502 1520109605 522 254</w:t>
      </w:r>
      <w:r>
        <w:rPr>
          <w:rFonts w:ascii="Times New Roman" w:hAnsi="Times New Roman" w:cs="Times New Roman" w:eastAsia="Times New Roman"/>
          <w:b w:val="0"/>
          <w:i w:val="0"/>
          <w:color w:val="000000"/>
          <w:sz w:val="28"/>
          <w:szCs w:val="28"/>
        </w:rPr>
        <w:t xml:space="preserve"> субсидии на обеспечение мероприятий по модернизации систем коммунальной инфраструктуры за счет средств бюджета Пензенской области план 7 890 000,00 руб., планируется к освоению в 4 квартале 2024 года. </w:t>
      </w:r>
    </w:p>
    <w:p>
      <w:pPr>
        <w:spacing w:before="0" w:after="0" w:beforeAutospacing="0" w:afterAutospacing="0"/>
        <w:ind w:firstLine="72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0503 1530171400 521 251</w:t>
      </w:r>
      <w:r>
        <w:rPr>
          <w:rFonts w:ascii="Times New Roman" w:hAnsi="Times New Roman" w:cs="Times New Roman" w:eastAsia="Times New Roman"/>
          <w:b w:val="0"/>
          <w:i w:val="0"/>
          <w:color w:val="000000"/>
          <w:sz w:val="28"/>
          <w:szCs w:val="28"/>
        </w:rPr>
        <w:t xml:space="preserve"> в сумме 7 064 515,64 руб. субсидия на совершенствование систем наружного освещения населенных пунктов перечислено в муниципальные образования Пензенской области 5 663 679,31 руб., что составило 80,2%.</w:t>
      </w:r>
    </w:p>
    <w:p>
      <w:pPr>
        <w:spacing w:before="0" w:after="0" w:beforeAutospacing="0" w:afterAutospacing="0"/>
        <w:ind w:firstLine="72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0503 2330171420 540 251</w:t>
      </w:r>
      <w:r>
        <w:rPr>
          <w:rFonts w:ascii="Times New Roman" w:hAnsi="Times New Roman" w:cs="Times New Roman" w:eastAsia="Times New Roman"/>
          <w:b w:val="0"/>
          <w:i w:val="0"/>
          <w:color w:val="000000"/>
          <w:sz w:val="28"/>
          <w:szCs w:val="28"/>
        </w:rPr>
        <w:t xml:space="preserve"> в сумме 10 000 000,00 руб. субсидия на премирование территорий – победителей конкурса на звание «Самое благоустроенное городское (сельское) поселение Пензенской области», освоено в 3 квартале 2024 года 6 465 606,70 руб. (64,7%). </w:t>
      </w:r>
    </w:p>
    <w:p>
      <w:pPr>
        <w:spacing w:before="0" w:after="0" w:beforeAutospacing="0" w:afterAutospacing="0"/>
        <w:ind w:firstLine="72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0503 231F255550 523 251</w:t>
      </w:r>
      <w:r>
        <w:rPr>
          <w:rFonts w:ascii="Times New Roman" w:hAnsi="Times New Roman" w:cs="Times New Roman" w:eastAsia="Times New Roman"/>
          <w:b w:val="0"/>
          <w:i w:val="0"/>
          <w:color w:val="000000"/>
          <w:sz w:val="28"/>
          <w:szCs w:val="28"/>
        </w:rPr>
        <w:t xml:space="preserve"> в сумме 311 254 747,47 руб. субсидия на поддержку государственных программ субъектов Российской Федерации и муниципальных программ формирования современной городской среды, освоено 258 992 411,78 руб (83,2%). </w:t>
      </w:r>
    </w:p>
    <w:p>
      <w:pPr>
        <w:spacing w:before="0" w:after="0" w:beforeAutospacing="0" w:afterAutospacing="0"/>
        <w:ind w:firstLine="72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0503 23301R2990 521 251</w:t>
      </w:r>
      <w:r>
        <w:rPr>
          <w:rFonts w:ascii="Times New Roman" w:hAnsi="Times New Roman" w:cs="Times New Roman" w:eastAsia="Times New Roman"/>
          <w:b w:val="0"/>
          <w:i w:val="0"/>
          <w:color w:val="000000"/>
          <w:sz w:val="28"/>
          <w:szCs w:val="28"/>
        </w:rPr>
        <w:t xml:space="preserve"> субсидия на обустройство и восстановление воинских захоронений в сумме 460 000,00 руб. Освоено во 2 квартале 460 000,00 руб. (100,0%). </w:t>
      </w:r>
    </w:p>
    <w:p>
      <w:pPr>
        <w:spacing w:before="0" w:after="0" w:beforeAutospacing="0" w:afterAutospacing="0"/>
        <w:ind w:firstLine="72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 xml:space="preserve">КБК 840 0113 1420199999 244 226 </w:t>
      </w:r>
      <w:r>
        <w:rPr>
          <w:rFonts w:ascii="Times New Roman" w:hAnsi="Times New Roman" w:cs="Times New Roman" w:eastAsia="Times New Roman"/>
          <w:b w:val="0"/>
          <w:i w:val="0"/>
          <w:color w:val="000000"/>
          <w:sz w:val="28"/>
          <w:szCs w:val="28"/>
        </w:rPr>
        <w:t xml:space="preserve">реализация отдельных мероприятий запланированы на 2024 год в сумме 1 116 000,00 руб. Освоено 1 116 000,00 руб. (100,0%). </w:t>
      </w:r>
    </w:p>
    <w:p>
      <w:pPr>
        <w:spacing w:before="0" w:after="0" w:beforeAutospacing="0" w:afterAutospacing="0"/>
        <w:ind w:firstLine="72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0505 231F254240 523 251</w:t>
      </w:r>
      <w:r>
        <w:rPr>
          <w:rFonts w:ascii="Times New Roman" w:hAnsi="Times New Roman" w:cs="Times New Roman" w:eastAsia="Times New Roman"/>
          <w:b w:val="0"/>
          <w:i w:val="0"/>
          <w:color w:val="000000"/>
          <w:sz w:val="28"/>
          <w:szCs w:val="28"/>
        </w:rPr>
        <w:t xml:space="preserve"> в сумме 93 055 656,57 руб. субсидия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Освоено во 2 квартале 93 055 656,57 руб. (100,0%). </w:t>
      </w:r>
    </w:p>
    <w:p>
      <w:pPr>
        <w:spacing w:before="0" w:after="0" w:beforeAutospacing="0" w:afterAutospacing="0"/>
        <w:ind w:firstLine="72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 xml:space="preserve">КБК 840 0505 1540174630 530 251 </w:t>
      </w:r>
      <w:r>
        <w:rPr>
          <w:rFonts w:ascii="Times New Roman" w:hAnsi="Times New Roman" w:cs="Times New Roman" w:eastAsia="Times New Roman"/>
          <w:b w:val="0"/>
          <w:i w:val="0"/>
          <w:color w:val="000000"/>
          <w:sz w:val="28"/>
          <w:szCs w:val="28"/>
        </w:rPr>
        <w:t>субвенции на исполнение отдельных государственных полномочий Пензенской области по региональному государственному лицензионному контролю за осуществлением предпринимательской деятельности по управлению многоквартирными домами и региональному государственному жилищному контролю (надзору) план 3 640 000,00 руб. Перечислено муниципальным образованиям 472 027,34 руб. (13,0%).</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xml:space="preserve"> По </w:t>
      </w:r>
      <w:r>
        <w:rPr>
          <w:rFonts w:ascii="Times New Roman" w:hAnsi="Times New Roman" w:cs="Times New Roman" w:eastAsia="Times New Roman"/>
          <w:b w:val="1"/>
          <w:i w:val="1"/>
          <w:color w:val="000000"/>
          <w:sz w:val="28"/>
          <w:szCs w:val="28"/>
        </w:rPr>
        <w:t>КБК 840 0204 0540220100 612 241</w:t>
      </w:r>
      <w:r>
        <w:rPr>
          <w:rFonts w:ascii="Times New Roman" w:hAnsi="Times New Roman" w:cs="Times New Roman" w:eastAsia="Times New Roman"/>
          <w:b w:val="0"/>
          <w:i w:val="0"/>
          <w:color w:val="000000"/>
          <w:sz w:val="28"/>
          <w:szCs w:val="28"/>
        </w:rPr>
        <w:t xml:space="preserve"> в сумме 282 300,00 руб. мероприятия по мобилизационной готовности экономики (закупка противогазов), планируется к освоению в 4 квартале 2024 года.</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0204 0540220100 612 281</w:t>
      </w:r>
      <w:r>
        <w:rPr>
          <w:rFonts w:ascii="Times New Roman" w:hAnsi="Times New Roman" w:cs="Times New Roman" w:eastAsia="Times New Roman"/>
          <w:b w:val="0"/>
          <w:i w:val="0"/>
          <w:color w:val="000000"/>
          <w:sz w:val="28"/>
          <w:szCs w:val="28"/>
        </w:rPr>
        <w:t xml:space="preserve"> в сумме 75 000,00 руб. мероприятия по мобилизационной готовности экономики (закупка противогазов), освоено во 2 квартале 2024 года 75 000,00 руб. (100,0%).</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0310 0540264700 611 241</w:t>
      </w:r>
      <w:r>
        <w:rPr>
          <w:rFonts w:ascii="Times New Roman" w:hAnsi="Times New Roman" w:cs="Times New Roman" w:eastAsia="Times New Roman"/>
          <w:b w:val="0"/>
          <w:i w:val="0"/>
          <w:color w:val="000000"/>
          <w:sz w:val="28"/>
          <w:szCs w:val="28"/>
        </w:rPr>
        <w:t xml:space="preserve"> в сумме 15 884 400,00 руб. организация эксплуатации системы вызова экстренных оперативных служб по единому номеру «112», обеспечение приема и обработки вызовов перечислено 10 760 000,00 руб. (67,7 %).</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0310 0540465280 612 241</w:t>
      </w:r>
      <w:r>
        <w:rPr>
          <w:rFonts w:ascii="Times New Roman" w:hAnsi="Times New Roman" w:cs="Times New Roman" w:eastAsia="Times New Roman"/>
          <w:b w:val="0"/>
          <w:i w:val="0"/>
          <w:color w:val="000000"/>
          <w:sz w:val="28"/>
          <w:szCs w:val="28"/>
        </w:rPr>
        <w:t xml:space="preserve"> в сумме 360 000,00 руб. на подготовку к пропуску весеннего половодья и летне-осенних паводков освоено 360 000,00 руб. (100,0%).</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0310 0540465280 612 281</w:t>
      </w:r>
      <w:r>
        <w:rPr>
          <w:rFonts w:ascii="Times New Roman" w:hAnsi="Times New Roman" w:cs="Times New Roman" w:eastAsia="Times New Roman"/>
          <w:b w:val="0"/>
          <w:i w:val="0"/>
          <w:color w:val="000000"/>
          <w:sz w:val="28"/>
          <w:szCs w:val="28"/>
        </w:rPr>
        <w:t xml:space="preserve"> в сумме 140 000,00 руб. на подготовку к пропуску весеннего половодья и летне-осенних паводков освоено 140 000,00 руб. (100,0%).</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0310 0540165260 611 241</w:t>
      </w:r>
      <w:r>
        <w:rPr>
          <w:rFonts w:ascii="Times New Roman" w:hAnsi="Times New Roman" w:cs="Times New Roman" w:eastAsia="Times New Roman"/>
          <w:b w:val="0"/>
          <w:i w:val="0"/>
          <w:color w:val="000000"/>
          <w:sz w:val="28"/>
          <w:szCs w:val="28"/>
        </w:rPr>
        <w:t xml:space="preserve"> по подпрограмме «Снижение рисков и смягчение последствий чрезвычайных ситуаций природного и техногенного характера и обеспечение пожарной безопасности Пензенской области» в рамках государственной программы Пензенской области «Защита населения и территорий от чрезвычайных ситуаций, обеспечение пожарной безопасности в Пензенской области на 2014 - 2024 годы» на выполнение госзадания ГУ «ППСЦ» из плановых лимитов в сумме 217 880 110,00 руб. перечислено 159 689 187,60  руб. или 73,3%.</w:t>
      </w:r>
    </w:p>
    <w:p>
      <w:pPr>
        <w:spacing w:before="0" w:after="0" w:beforeAutospacing="0" w:afterAutospacing="0"/>
        <w:ind w:firstLine="700" w:left="0" w:right="0"/>
        <w:jc w:val="both"/>
        <w:outlineLvl w:val="9"/>
      </w:pPr>
      <w:r>
        <w:rPr>
          <w:rFonts w:ascii="Times New Roman" w:hAnsi="Times New Roman" w:cs="Times New Roman" w:eastAsia="Times New Roman"/>
          <w:b w:val="0"/>
          <w:i w:val="0"/>
          <w:color w:val="000000"/>
          <w:sz w:val="28"/>
          <w:szCs w:val="28"/>
        </w:rPr>
        <w:t>Исполнение расходной части плана финансово-хозяйственной деятельности по субсидиям на выполнение государственного задания за 9 месяцев 2024 год составило:</w:t>
      </w:r>
    </w:p>
    <w:p>
      <w:pPr>
        <w:spacing w:before="0" w:after="0" w:beforeAutospacing="0" w:afterAutospacing="0"/>
        <w:ind w:firstLine="700" w:left="0" w:right="0"/>
        <w:jc w:val="both"/>
        <w:outlineLvl w:val="9"/>
      </w:pPr>
      <w:r>
        <w:rPr>
          <w:rFonts w:ascii="Times New Roman" w:hAnsi="Times New Roman" w:cs="Times New Roman" w:eastAsia="Times New Roman"/>
          <w:b w:val="0"/>
          <w:i w:val="0"/>
          <w:color w:val="000000"/>
          <w:sz w:val="28"/>
          <w:szCs w:val="28"/>
        </w:rPr>
        <w:t>- заработная плата – 95 127 449,50 руб. при плане 134 565 800,00 руб. (70,69 % выполнения); не исполнено 39 438 350,50 руб., заработная плата за 2 половину сентября, 4 квартал 2024 года;</w:t>
      </w:r>
    </w:p>
    <w:p>
      <w:pPr>
        <w:spacing w:before="0" w:after="0" w:beforeAutospacing="0" w:afterAutospacing="0"/>
        <w:ind w:firstLine="700" w:left="0" w:right="0"/>
        <w:jc w:val="both"/>
        <w:outlineLvl w:val="9"/>
      </w:pPr>
      <w:r>
        <w:rPr>
          <w:rFonts w:ascii="Times New Roman" w:hAnsi="Times New Roman" w:cs="Times New Roman" w:eastAsia="Times New Roman"/>
          <w:b w:val="0"/>
          <w:i w:val="0"/>
          <w:color w:val="000000"/>
          <w:sz w:val="28"/>
          <w:szCs w:val="28"/>
        </w:rPr>
        <w:t>- прочие выплаты – 6 900,00 руб. при плане 24 600,00 руб. (28,05 % выполнения); не исполнено 17 700,00 руб., остаток бюджетных ассигнований в части суточных;</w:t>
      </w:r>
    </w:p>
    <w:p>
      <w:pPr>
        <w:spacing w:before="0" w:after="0" w:beforeAutospacing="0" w:afterAutospacing="0"/>
        <w:ind w:firstLine="700" w:left="0" w:right="0"/>
        <w:jc w:val="both"/>
        <w:outlineLvl w:val="9"/>
      </w:pPr>
      <w:r>
        <w:rPr>
          <w:rFonts w:ascii="Times New Roman" w:hAnsi="Times New Roman" w:cs="Times New Roman" w:eastAsia="Times New Roman"/>
          <w:b w:val="0"/>
          <w:i w:val="0"/>
          <w:color w:val="000000"/>
          <w:sz w:val="28"/>
          <w:szCs w:val="28"/>
        </w:rPr>
        <w:t xml:space="preserve">- начисления на выплаты по оплате труда – 27 275 013,10 руб. при плане 42 394 427,05 руб. (64,34 % выполнения), не исполнено 15 119 413,95 руб., – страховые взносы за сентябрь, 4 квартал 2024 года; </w:t>
      </w:r>
    </w:p>
    <w:p>
      <w:pPr>
        <w:spacing w:before="0" w:after="0" w:beforeAutospacing="0" w:afterAutospacing="0"/>
        <w:ind w:firstLine="700" w:left="0" w:right="0"/>
        <w:jc w:val="both"/>
        <w:outlineLvl w:val="9"/>
      </w:pPr>
      <w:r>
        <w:rPr>
          <w:rFonts w:ascii="Times New Roman" w:hAnsi="Times New Roman" w:cs="Times New Roman" w:eastAsia="Times New Roman"/>
          <w:b w:val="0"/>
          <w:i w:val="0"/>
          <w:color w:val="000000"/>
          <w:sz w:val="28"/>
          <w:szCs w:val="28"/>
        </w:rPr>
        <w:t>- услуги связи – 11 180 328,66 руб. при плане 19 883 572,68 (56,23 % выполнения) - не исполнено 8 703 244,02 руб., - услуги связи за сентябрь, 4 квартал 2024 года;</w:t>
      </w:r>
    </w:p>
    <w:p>
      <w:pPr>
        <w:spacing w:before="0" w:after="0" w:beforeAutospacing="0" w:afterAutospacing="0"/>
        <w:ind w:firstLine="700" w:left="0" w:right="0"/>
        <w:jc w:val="both"/>
        <w:outlineLvl w:val="9"/>
      </w:pPr>
      <w:r>
        <w:rPr>
          <w:rFonts w:ascii="Times New Roman" w:hAnsi="Times New Roman" w:cs="Times New Roman" w:eastAsia="Times New Roman"/>
          <w:b w:val="0"/>
          <w:i w:val="0"/>
          <w:color w:val="000000"/>
          <w:sz w:val="28"/>
          <w:szCs w:val="28"/>
        </w:rPr>
        <w:t>- коммунальные услуги –2 655 703,39 руб. при плане 6 112 250,20 руб. (43,45 % выполнения), не исполнено 3 456 546,81 руб. – коммунальные услуги за сентябрь, 4 квартал 2024 года;</w:t>
      </w:r>
    </w:p>
    <w:p>
      <w:pPr>
        <w:spacing w:before="0" w:after="0" w:beforeAutospacing="0" w:afterAutospacing="0"/>
        <w:ind w:firstLine="700" w:left="0" w:right="0"/>
        <w:jc w:val="both"/>
        <w:outlineLvl w:val="9"/>
      </w:pPr>
      <w:r>
        <w:rPr>
          <w:rFonts w:ascii="Times New Roman" w:hAnsi="Times New Roman" w:cs="Times New Roman" w:eastAsia="Times New Roman"/>
          <w:b w:val="0"/>
          <w:i w:val="0"/>
          <w:color w:val="000000"/>
          <w:sz w:val="28"/>
          <w:szCs w:val="28"/>
        </w:rPr>
        <w:t>- арендная плата –1 996 372,36 руб. при плане 2 751 070,80 руб. (72,57 % выполнения), не исполнено 754 698,44 руб. - арендная плата за сентябрь, 4 квартал 2024 года;</w:t>
      </w:r>
    </w:p>
    <w:p>
      <w:pPr>
        <w:spacing w:before="0" w:after="0" w:beforeAutospacing="0" w:afterAutospacing="0"/>
        <w:ind w:firstLine="700" w:left="0" w:right="60"/>
        <w:jc w:val="both"/>
        <w:outlineLvl w:val="9"/>
      </w:pPr>
      <w:r>
        <w:rPr>
          <w:rFonts w:ascii="Times New Roman" w:hAnsi="Times New Roman" w:cs="Times New Roman" w:eastAsia="Times New Roman"/>
          <w:b w:val="0"/>
          <w:i w:val="0"/>
          <w:color w:val="000000"/>
          <w:sz w:val="28"/>
          <w:szCs w:val="28"/>
        </w:rPr>
        <w:t>- работы, услуги по содержанию имущества – 15 012 162,49 руб. при плане 25 157 714,78 руб. (59,67 % выполнения), не исполнено 10 145 552,29 руб. - работы, услуги по содержанию имущества за сентябрь, 4 квартал 2024 года;</w:t>
      </w:r>
    </w:p>
    <w:p>
      <w:pPr>
        <w:spacing w:before="0" w:after="0" w:beforeAutospacing="0" w:afterAutospacing="0"/>
        <w:ind w:firstLine="0" w:left="0" w:right="60"/>
        <w:jc w:val="both"/>
        <w:outlineLvl w:val="9"/>
      </w:pPr>
      <w:r>
        <w:rPr>
          <w:rFonts w:ascii="Times New Roman" w:hAnsi="Times New Roman" w:cs="Times New Roman" w:eastAsia="Times New Roman"/>
          <w:b w:val="0"/>
          <w:i w:val="0"/>
          <w:color w:val="000000"/>
          <w:sz w:val="28"/>
          <w:szCs w:val="28"/>
        </w:rPr>
        <w:t>        - прочие работы, услуги – 372 629,09 руб. при плане 797 680,00 руб. (46,71 % выполнения); не исполнено 425 050,91 руб. - прочие работы и услуги за 4 квартал 2024 года;</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8"/>
          <w:szCs w:val="28"/>
        </w:rPr>
        <w:t>        - страхование – 97 931,34 руб. при плане 136 860,38 руб. (71,56 % выполнения); не исполнено 38 929,04 руб. -</w:t>
      </w:r>
      <w:r>
        <w:rPr>
          <w:rFonts w:ascii="Calibri" w:hAnsi="Calibri" w:cs="Calibri" w:eastAsia="Calibri"/>
          <w:b w:val="0"/>
          <w:i w:val="0"/>
          <w:color w:val="000000"/>
          <w:sz w:val="28"/>
          <w:szCs w:val="28"/>
        </w:rPr>
        <w:t xml:space="preserve"> </w:t>
      </w:r>
      <w:r>
        <w:rPr>
          <w:rFonts w:ascii="Times New Roman" w:hAnsi="Times New Roman" w:cs="Times New Roman" w:eastAsia="Times New Roman"/>
          <w:b w:val="0"/>
          <w:i w:val="0"/>
          <w:color w:val="000000"/>
          <w:sz w:val="28"/>
          <w:szCs w:val="28"/>
        </w:rPr>
        <w:t>страхование автотранспорта и спасателей в 4 квартале 2024 года;</w:t>
      </w:r>
    </w:p>
    <w:p>
      <w:pPr>
        <w:spacing w:before="0" w:after="0" w:beforeAutospacing="0" w:afterAutospacing="0"/>
        <w:ind w:firstLine="0" w:left="0" w:right="60"/>
        <w:jc w:val="both"/>
        <w:outlineLvl w:val="9"/>
      </w:pPr>
      <w:r>
        <w:rPr>
          <w:rFonts w:ascii="Calibri" w:hAnsi="Calibri" w:cs="Calibri" w:eastAsia="Calibri"/>
          <w:b w:val="0"/>
          <w:i w:val="0"/>
          <w:color w:val="000000"/>
          <w:sz w:val="28"/>
          <w:szCs w:val="28"/>
        </w:rPr>
        <w:t>        </w:t>
      </w:r>
      <w:r>
        <w:rPr>
          <w:rFonts w:ascii="Times New Roman" w:hAnsi="Times New Roman" w:cs="Times New Roman" w:eastAsia="Times New Roman"/>
          <w:b w:val="0"/>
          <w:i w:val="0"/>
          <w:color w:val="000000"/>
          <w:sz w:val="28"/>
          <w:szCs w:val="28"/>
        </w:rPr>
        <w:t>- пособия по социальной помощи населению 345 058,42 руб. при плане 600 000,00 руб. (57,51 % выполнения); не исполнено 254 941,58 руб., остаток бюджетных ассигнований в части уплаты по листам нетрудоспособности за сентябрь, 4 квартал 2024 года;</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8"/>
          <w:szCs w:val="28"/>
        </w:rPr>
        <w:t>         - прочие расходы – 658 088,98 руб. при плане 1 251 373,02 руб. (52,59 % выполнения), не исполнено 593 284,04 руб. - прочие расходы за 4 квартал 2024 года;</w:t>
      </w:r>
    </w:p>
    <w:p>
      <w:pPr>
        <w:spacing w:before="0" w:after="0" w:beforeAutospacing="0" w:afterAutospacing="0"/>
        <w:ind w:firstLine="700" w:left="0" w:right="0"/>
        <w:jc w:val="both"/>
        <w:outlineLvl w:val="9"/>
      </w:pPr>
      <w:r>
        <w:rPr>
          <w:rFonts w:ascii="Times New Roman" w:hAnsi="Times New Roman" w:cs="Times New Roman" w:eastAsia="Times New Roman"/>
          <w:b w:val="0"/>
          <w:i w:val="0"/>
          <w:color w:val="000000"/>
          <w:sz w:val="28"/>
          <w:szCs w:val="28"/>
        </w:rPr>
        <w:t>- приобретение материальных запасов – 2 396 104,23 руб. при плане 4 598 385,46 руб. (52,11 % выполнения), не исполнено 2 202 281,23 руб. – приобретение материальных запасов в 4 квартале 2024 года.</w:t>
      </w:r>
    </w:p>
    <w:p>
      <w:pPr>
        <w:spacing w:before="0" w:after="0" w:beforeAutospacing="0" w:afterAutospacing="0"/>
        <w:ind w:firstLine="0" w:left="700" w:right="0"/>
        <w:jc w:val="both"/>
        <w:outlineLvl w:val="9"/>
      </w:pPr>
      <w:r>
        <w:rPr>
          <w:rFonts w:ascii="Times New Roman" w:hAnsi="Times New Roman" w:cs="Times New Roman" w:eastAsia="Times New Roman"/>
          <w:b w:val="0"/>
          <w:i w:val="0"/>
          <w:color w:val="000000"/>
          <w:sz w:val="28"/>
          <w:szCs w:val="28"/>
        </w:rPr>
        <w:t> </w:t>
      </w:r>
    </w:p>
    <w:p>
      <w:pPr>
        <w:spacing w:before="0" w:after="0" w:beforeAutospacing="0" w:afterAutospacing="0"/>
        <w:ind w:firstLine="0" w:left="700" w:right="0"/>
        <w:jc w:val="both"/>
        <w:outlineLvl w:val="9"/>
      </w:pPr>
      <w:r>
        <w:rPr>
          <w:rFonts w:ascii="Times New Roman" w:hAnsi="Times New Roman" w:cs="Times New Roman" w:eastAsia="Times New Roman"/>
          <w:b w:val="1"/>
          <w:i w:val="0"/>
          <w:color w:val="000000"/>
          <w:sz w:val="28"/>
          <w:szCs w:val="28"/>
        </w:rPr>
        <w:t>Выполнение объемных показателей гос. услуги на 01.10.2024 года:</w:t>
      </w:r>
    </w:p>
    <w:p>
      <w:pPr>
        <w:spacing w:before="0" w:after="0" w:beforeAutospacing="0" w:afterAutospacing="0"/>
        <w:ind w:firstLine="0" w:left="700" w:right="0"/>
        <w:jc w:val="both"/>
        <w:outlineLvl w:val="9"/>
      </w:pPr>
      <w:r>
        <w:rPr>
          <w:rFonts w:ascii="Times New Roman" w:hAnsi="Times New Roman" w:cs="Times New Roman" w:eastAsia="Times New Roman"/>
          <w:b w:val="1"/>
          <w:i w:val="0"/>
          <w:color w:val="000000"/>
          <w:sz w:val="24"/>
          <w:szCs w:val="24"/>
        </w:rPr>
        <w:t> </w:t>
      </w:r>
    </w:p>
    <w:p>
      <w:pPr>
        <w:spacing w:before="0" w:after="0" w:beforeAutospacing="0" w:afterAutospacing="0"/>
        <w:ind w:firstLine="0" w:left="700" w:right="0"/>
        <w:jc w:val="both"/>
        <w:outlineLvl w:val="9"/>
      </w:pPr>
      <w:r>
        <w:rPr>
          <w:rFonts w:ascii="Times New Roman" w:hAnsi="Times New Roman" w:cs="Times New Roman" w:eastAsia="Times New Roman"/>
          <w:b w:val="0"/>
          <w:i w:val="0"/>
          <w:color w:val="000000"/>
          <w:sz w:val="16"/>
          <w:szCs w:val="16"/>
        </w:rPr>
        <w:t> </w:t>
      </w:r>
    </w:p>
    <w:tbl>
      <w:tblPr>
        <w:tblW w:w="13395" w:type="dxa"/>
        <w:tblInd w:w="73" w:type="dxa"/>
        <w:tblBorders>
          <w:top w:val="none" w:sz="0" w:space="0" w:shadow="0" w:frame="0" w:color="000000"/>
          <w:left w:val="none" w:sz="0" w:space="0" w:shadow="0" w:frame="0" w:color="000000"/>
          <w:bottom w:val="none" w:sz="0" w:space="0" w:shadow="0" w:frame="0" w:color="000000"/>
          <w:right w:val="none" w:sz="0" w:space="0" w:shadow="0" w:frame="0" w:color="000000"/>
          <w:insideH w:val="none" w:sz="0" w:space="0" w:shadow="0" w:frame="0" w:color="auto"/>
          <w:insideV w:val="none" w:sz="0" w:space="0" w:shadow="0" w:frame="0" w:color="auto"/>
        </w:tblBorders>
        <w:tblLayout w:type="autofit"/>
        <w:tblCellMar>
          <w:top w:w="0" w:type="dxa"/>
          <w:left w:w="0" w:type="dxa"/>
          <w:bottom w:w="0" w:type="dxa"/>
          <w:right w:w="0" w:type="dxa"/>
        </w:tblCellMar>
      </w:tblPr>
      <w:tblGrid/>
      <w:tr>
        <w:trPr>
          <w:trHeight w:hRule="atLeast" w:val="701"/>
        </w:trPr>
        <w:tc>
          <w:tcPr>
            <w:tcW w:w="1137" w:type="dxa"/>
            <w:vMerge w:val="restart"/>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1"/>
                <w:i w:val="0"/>
                <w:color w:val="000000"/>
                <w:sz w:val="20"/>
                <w:szCs w:val="20"/>
              </w:rPr>
              <w:t>№ п/п</w:t>
            </w:r>
          </w:p>
        </w:tc>
        <w:tc>
          <w:tcPr>
            <w:tcW w:w="6726"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center"/>
            </w:pPr>
            <w:r>
              <w:rPr>
                <w:rFonts w:ascii="Times New Roman" w:hAnsi="Times New Roman" w:cs="Times New Roman" w:eastAsia="Times New Roman"/>
                <w:b w:val="1"/>
                <w:i w:val="0"/>
                <w:color w:val="000000"/>
                <w:sz w:val="20"/>
                <w:szCs w:val="20"/>
              </w:rPr>
              <w:t>Наименование гос. услуг</w:t>
            </w:r>
          </w:p>
        </w:tc>
        <w:tc>
          <w:tcPr>
            <w:tcW w:w="1277"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center"/>
            </w:pPr>
            <w:r>
              <w:rPr>
                <w:rFonts w:ascii="Times New Roman" w:hAnsi="Times New Roman" w:cs="Times New Roman" w:eastAsia="Times New Roman"/>
                <w:b w:val="1"/>
                <w:i w:val="0"/>
                <w:color w:val="000000"/>
                <w:sz w:val="20"/>
                <w:szCs w:val="20"/>
              </w:rPr>
              <w:t>Единица измерения</w:t>
            </w:r>
          </w:p>
        </w:tc>
        <w:tc>
          <w:tcPr>
            <w:tcW w:w="2968" w:type="dxa"/>
            <w:gridSpan w:val="2"/>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center"/>
            </w:pPr>
            <w:r>
              <w:rPr>
                <w:rFonts w:ascii="Times New Roman" w:hAnsi="Times New Roman" w:cs="Times New Roman" w:eastAsia="Times New Roman"/>
                <w:b w:val="1"/>
                <w:i w:val="0"/>
                <w:color w:val="000000"/>
                <w:sz w:val="20"/>
                <w:szCs w:val="20"/>
              </w:rPr>
              <w:t>Объем гос. услуг в натуральных показателях</w:t>
            </w:r>
          </w:p>
        </w:tc>
        <w:tc>
          <w:tcPr>
            <w:tcW w:w="1276" w:type="dxa"/>
            <w:vMerge w:val="restart"/>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center"/>
            </w:pPr>
            <w:r>
              <w:rPr>
                <w:rFonts w:ascii="Times New Roman" w:hAnsi="Times New Roman" w:cs="Times New Roman" w:eastAsia="Times New Roman"/>
                <w:b w:val="1"/>
                <w:i w:val="0"/>
                <w:color w:val="000000"/>
                <w:sz w:val="20"/>
                <w:szCs w:val="20"/>
              </w:rPr>
              <w:t>Причины отклонений</w:t>
            </w:r>
          </w:p>
        </w:tc>
      </w:tr>
      <w:tr>
        <w:trPr>
          <w:trHeight w:hRule="atLeast" w:val="38"/>
        </w:trPr>
        <w:tc>
          <w:tcPr>
            <w:tcW w:w="1137" w:type="dxa"/>
            <w:vMerge w:val="continue"/>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ind w:left="0" w:right="0"/>
            </w:pPr>
            <w:r>
              <w:t xml:space="preserve"> </w:t>
            </w:r>
          </w:p>
        </w:tc>
        <w:tc>
          <w:tcPr>
            <w:tcW w:w="6726"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left"/>
            </w:pPr>
            <w:r>
              <w:rPr>
                <w:rFonts w:ascii="Calibri" w:hAnsi="Calibri" w:cs="Calibri" w:eastAsia="Calibri"/>
                <w:b w:val="0"/>
                <w:i w:val="0"/>
                <w:color w:val="000000"/>
                <w:sz w:val="22"/>
                <w:szCs w:val="22"/>
              </w:rPr>
              <w:t> </w:t>
            </w:r>
          </w:p>
        </w:tc>
        <w:tc>
          <w:tcPr>
            <w:tcW w:w="1277"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left"/>
            </w:pPr>
            <w:r>
              <w:rPr>
                <w:rFonts w:ascii="Calibri" w:hAnsi="Calibri" w:cs="Calibri" w:eastAsia="Calibri"/>
                <w:b w:val="0"/>
                <w:i w:val="0"/>
                <w:color w:val="000000"/>
                <w:sz w:val="22"/>
                <w:szCs w:val="22"/>
              </w:rPr>
              <w:t> </w:t>
            </w:r>
          </w:p>
        </w:tc>
        <w:tc>
          <w:tcPr>
            <w:tcW w:w="1561"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center"/>
            </w:pPr>
            <w:r>
              <w:rPr>
                <w:rFonts w:ascii="Times New Roman" w:hAnsi="Times New Roman" w:cs="Times New Roman" w:eastAsia="Times New Roman"/>
                <w:b w:val="1"/>
                <w:i w:val="0"/>
                <w:color w:val="000000"/>
                <w:sz w:val="24"/>
                <w:szCs w:val="24"/>
              </w:rPr>
              <w:t>План 2024 г.</w:t>
            </w:r>
          </w:p>
        </w:tc>
        <w:tc>
          <w:tcPr>
            <w:tcW w:w="1407"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center"/>
            </w:pPr>
            <w:r>
              <w:rPr>
                <w:rFonts w:ascii="Times New Roman" w:hAnsi="Times New Roman" w:cs="Times New Roman" w:eastAsia="Times New Roman"/>
                <w:b w:val="1"/>
                <w:i w:val="0"/>
                <w:color w:val="000000"/>
                <w:sz w:val="24"/>
                <w:szCs w:val="24"/>
              </w:rPr>
              <w:t>Факт на 01.10.2024 г.</w:t>
            </w:r>
          </w:p>
        </w:tc>
        <w:tc>
          <w:tcPr>
            <w:tcW w:w="1276" w:type="dxa"/>
            <w:vMerge w:val="continue"/>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ind w:left="0" w:right="0"/>
              <w:rPr>
                <w:sz w:val="4"/>
              </w:rPr>
            </w:pPr>
          </w:p>
        </w:tc>
      </w:tr>
      <w:tr>
        <w:trPr>
          <w:trHeight w:hRule="atLeast" w:val="38"/>
        </w:trPr>
        <w:tc>
          <w:tcPr>
            <w:tcW w:w="1137"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0"/>
                <w:i w:val="0"/>
                <w:color w:val="000000"/>
                <w:sz w:val="24"/>
                <w:szCs w:val="24"/>
              </w:rPr>
              <w:t> 1.</w:t>
            </w:r>
          </w:p>
          <w:p>
            <w:pPr>
              <w:spacing w:before="0" w:after="0" w:beforeAutospacing="0" w:afterAutospacing="0"/>
              <w:ind w:firstLine="0" w:left="0" w:right="0"/>
              <w:jc w:val="left"/>
            </w:pPr>
            <w:r>
              <w:rPr>
                <w:rFonts w:ascii="Times New Roman" w:hAnsi="Times New Roman" w:cs="Times New Roman" w:eastAsia="Times New Roman"/>
                <w:b w:val="1"/>
                <w:i w:val="0"/>
                <w:color w:val="000000"/>
                <w:sz w:val="24"/>
                <w:szCs w:val="24"/>
              </w:rPr>
              <w:t> </w:t>
            </w:r>
          </w:p>
        </w:tc>
        <w:tc>
          <w:tcPr>
            <w:tcW w:w="6726"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0"/>
                <w:i w:val="0"/>
                <w:color w:val="000000"/>
                <w:sz w:val="24"/>
                <w:szCs w:val="24"/>
              </w:rPr>
              <w:t xml:space="preserve">Реализация дополнительных профессиональных программ повышения квалификации </w:t>
            </w:r>
            <w:r>
              <w:rPr>
                <w:rFonts w:ascii="Times New Roman" w:hAnsi="Times New Roman" w:cs="Times New Roman" w:eastAsia="Times New Roman"/>
                <w:b w:val="1"/>
                <w:i w:val="0"/>
                <w:color w:val="000000"/>
                <w:sz w:val="24"/>
                <w:szCs w:val="24"/>
              </w:rPr>
              <w:t> </w:t>
            </w:r>
          </w:p>
        </w:tc>
        <w:tc>
          <w:tcPr>
            <w:tcW w:w="1277"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0"/>
                <w:i w:val="0"/>
                <w:color w:val="000000"/>
                <w:sz w:val="24"/>
                <w:szCs w:val="24"/>
              </w:rPr>
              <w:t> </w:t>
            </w:r>
          </w:p>
          <w:p>
            <w:pPr>
              <w:spacing w:before="0" w:after="0" w:beforeAutospacing="0" w:afterAutospacing="0"/>
              <w:ind w:firstLine="0" w:left="0" w:right="0"/>
              <w:jc w:val="both"/>
            </w:pPr>
            <w:r>
              <w:rPr>
                <w:rFonts w:ascii="Times New Roman" w:hAnsi="Times New Roman" w:cs="Times New Roman" w:eastAsia="Times New Roman"/>
                <w:b w:val="0"/>
                <w:i w:val="0"/>
                <w:color w:val="000000"/>
                <w:sz w:val="24"/>
                <w:szCs w:val="24"/>
              </w:rPr>
              <w:t>Чел-час.</w:t>
            </w:r>
          </w:p>
        </w:tc>
        <w:tc>
          <w:tcPr>
            <w:tcW w:w="1561"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center"/>
            </w:pPr>
            <w:r>
              <w:rPr>
                <w:rFonts w:ascii="Times New Roman" w:hAnsi="Times New Roman" w:cs="Times New Roman" w:eastAsia="Times New Roman"/>
                <w:b w:val="0"/>
                <w:i w:val="0"/>
                <w:color w:val="000000"/>
                <w:sz w:val="24"/>
                <w:szCs w:val="24"/>
              </w:rPr>
              <w:t> </w:t>
            </w:r>
          </w:p>
          <w:p>
            <w:pPr>
              <w:spacing w:before="0" w:after="0" w:beforeAutospacing="0" w:afterAutospacing="0"/>
              <w:ind w:firstLine="0" w:left="0" w:right="0"/>
              <w:jc w:val="center"/>
            </w:pPr>
            <w:r>
              <w:rPr>
                <w:rFonts w:ascii="Times New Roman" w:hAnsi="Times New Roman" w:cs="Times New Roman" w:eastAsia="Times New Roman"/>
                <w:b w:val="0"/>
                <w:i w:val="0"/>
                <w:color w:val="000000"/>
                <w:sz w:val="24"/>
                <w:szCs w:val="24"/>
              </w:rPr>
              <w:t>77 796</w:t>
            </w:r>
          </w:p>
        </w:tc>
        <w:tc>
          <w:tcPr>
            <w:tcW w:w="1407"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center"/>
            </w:pPr>
            <w:r>
              <w:rPr>
                <w:rFonts w:ascii="Times New Roman" w:hAnsi="Times New Roman" w:cs="Times New Roman" w:eastAsia="Times New Roman"/>
                <w:b w:val="0"/>
                <w:i w:val="0"/>
                <w:color w:val="000000"/>
                <w:sz w:val="24"/>
                <w:szCs w:val="24"/>
              </w:rPr>
              <w:t> </w:t>
            </w:r>
          </w:p>
          <w:p>
            <w:pPr>
              <w:spacing w:before="0" w:after="0" w:beforeAutospacing="0" w:afterAutospacing="0"/>
              <w:ind w:firstLine="0" w:left="0" w:right="0"/>
              <w:jc w:val="center"/>
            </w:pPr>
            <w:r>
              <w:rPr>
                <w:rFonts w:ascii="Times New Roman" w:hAnsi="Times New Roman" w:cs="Times New Roman" w:eastAsia="Times New Roman"/>
                <w:b w:val="0"/>
                <w:i w:val="0"/>
                <w:color w:val="000000"/>
                <w:sz w:val="24"/>
                <w:szCs w:val="24"/>
              </w:rPr>
              <w:t>52 200</w:t>
            </w:r>
          </w:p>
        </w:tc>
        <w:tc>
          <w:tcPr>
            <w:tcW w:w="1276"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 </w:t>
            </w:r>
          </w:p>
        </w:tc>
      </w:tr>
      <w:tr>
        <w:trPr>
          <w:trHeight w:hRule="atLeast" w:val="38"/>
        </w:trPr>
        <w:tc>
          <w:tcPr>
            <w:tcW w:w="1137"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2.</w:t>
            </w:r>
          </w:p>
        </w:tc>
        <w:tc>
          <w:tcPr>
            <w:tcW w:w="6726"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Обеспечение функционирования системы обеспечения вызова экстренных оперативных служб по единому номеру "112", прием и обработка вызовов по единому номеру "112" и передача их в диспетчерские службы</w:t>
            </w:r>
          </w:p>
        </w:tc>
        <w:tc>
          <w:tcPr>
            <w:tcW w:w="1277"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0"/>
                <w:i w:val="0"/>
                <w:color w:val="000000"/>
                <w:sz w:val="24"/>
                <w:szCs w:val="24"/>
              </w:rPr>
              <w:t>процент</w:t>
            </w:r>
          </w:p>
        </w:tc>
        <w:tc>
          <w:tcPr>
            <w:tcW w:w="1561"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center"/>
            </w:pPr>
            <w:r>
              <w:rPr>
                <w:rFonts w:ascii="Times New Roman" w:hAnsi="Times New Roman" w:cs="Times New Roman" w:eastAsia="Times New Roman"/>
                <w:b w:val="0"/>
                <w:i w:val="0"/>
                <w:color w:val="000000"/>
                <w:sz w:val="24"/>
                <w:szCs w:val="24"/>
              </w:rPr>
              <w:t>100</w:t>
            </w:r>
          </w:p>
        </w:tc>
        <w:tc>
          <w:tcPr>
            <w:tcW w:w="1407"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center"/>
            </w:pPr>
            <w:r>
              <w:rPr>
                <w:rFonts w:ascii="Times New Roman" w:hAnsi="Times New Roman" w:cs="Times New Roman" w:eastAsia="Times New Roman"/>
                <w:b w:val="0"/>
                <w:i w:val="0"/>
                <w:color w:val="000000"/>
                <w:sz w:val="24"/>
                <w:szCs w:val="24"/>
              </w:rPr>
              <w:t>100</w:t>
            </w:r>
          </w:p>
        </w:tc>
        <w:tc>
          <w:tcPr>
            <w:tcW w:w="1276"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 </w:t>
            </w:r>
          </w:p>
        </w:tc>
      </w:tr>
      <w:tr>
        <w:trPr>
          <w:trHeight w:hRule="atLeast" w:val="38"/>
        </w:trPr>
        <w:tc>
          <w:tcPr>
            <w:tcW w:w="1137"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0"/>
                <w:i w:val="0"/>
                <w:color w:val="000000"/>
                <w:sz w:val="24"/>
                <w:szCs w:val="24"/>
              </w:rPr>
              <w:t>3.</w:t>
            </w:r>
          </w:p>
        </w:tc>
        <w:tc>
          <w:tcPr>
            <w:tcW w:w="6726"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Развитие и поддержание в постоянной готовности системы оповещения и информирования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w:t>
            </w:r>
          </w:p>
        </w:tc>
        <w:tc>
          <w:tcPr>
            <w:tcW w:w="1277"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0"/>
                <w:i w:val="0"/>
                <w:color w:val="000000"/>
                <w:sz w:val="24"/>
                <w:szCs w:val="24"/>
              </w:rPr>
              <w:t>Единица</w:t>
            </w:r>
          </w:p>
        </w:tc>
        <w:tc>
          <w:tcPr>
            <w:tcW w:w="1561"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center"/>
            </w:pPr>
            <w:r>
              <w:rPr>
                <w:rFonts w:ascii="Times New Roman" w:hAnsi="Times New Roman" w:cs="Times New Roman" w:eastAsia="Times New Roman"/>
                <w:b w:val="0"/>
                <w:i w:val="0"/>
                <w:color w:val="000000"/>
                <w:sz w:val="24"/>
                <w:szCs w:val="24"/>
              </w:rPr>
              <w:t>2</w:t>
            </w:r>
          </w:p>
        </w:tc>
        <w:tc>
          <w:tcPr>
            <w:tcW w:w="1407"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center"/>
            </w:pPr>
            <w:r>
              <w:rPr>
                <w:rFonts w:ascii="Times New Roman" w:hAnsi="Times New Roman" w:cs="Times New Roman" w:eastAsia="Times New Roman"/>
                <w:b w:val="0"/>
                <w:i w:val="0"/>
                <w:color w:val="000000"/>
                <w:sz w:val="24"/>
                <w:szCs w:val="24"/>
              </w:rPr>
              <w:t>1 </w:t>
            </w:r>
          </w:p>
        </w:tc>
        <w:tc>
          <w:tcPr>
            <w:tcW w:w="1276"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0"/>
                <w:i w:val="0"/>
                <w:color w:val="000000"/>
                <w:sz w:val="24"/>
                <w:szCs w:val="24"/>
              </w:rPr>
              <w:t> </w:t>
            </w:r>
          </w:p>
        </w:tc>
      </w:tr>
      <w:tr>
        <w:trPr>
          <w:trHeight w:hRule="atLeast" w:val="38"/>
        </w:trPr>
        <w:tc>
          <w:tcPr>
            <w:tcW w:w="1137"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0"/>
                <w:i w:val="0"/>
                <w:color w:val="000000"/>
                <w:sz w:val="24"/>
                <w:szCs w:val="24"/>
              </w:rPr>
              <w:t>4.</w:t>
            </w:r>
          </w:p>
        </w:tc>
        <w:tc>
          <w:tcPr>
            <w:tcW w:w="6726"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Создание и содержание в целях гражданской обороны запасов материально-технических, продовольственных, медицинских и иных средств</w:t>
            </w:r>
          </w:p>
        </w:tc>
        <w:tc>
          <w:tcPr>
            <w:tcW w:w="1277"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0"/>
                <w:i w:val="0"/>
                <w:color w:val="000000"/>
                <w:sz w:val="24"/>
                <w:szCs w:val="24"/>
              </w:rPr>
              <w:t> </w:t>
            </w:r>
          </w:p>
        </w:tc>
        <w:tc>
          <w:tcPr>
            <w:tcW w:w="1561"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center"/>
            </w:pPr>
            <w:r>
              <w:rPr>
                <w:rFonts w:ascii="Times New Roman" w:hAnsi="Times New Roman" w:cs="Times New Roman" w:eastAsia="Times New Roman"/>
                <w:b w:val="0"/>
                <w:i w:val="0"/>
                <w:color w:val="000000"/>
                <w:sz w:val="24"/>
                <w:szCs w:val="24"/>
              </w:rPr>
              <w:t>-</w:t>
            </w:r>
          </w:p>
        </w:tc>
        <w:tc>
          <w:tcPr>
            <w:tcW w:w="1407"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center"/>
            </w:pPr>
            <w:r>
              <w:rPr>
                <w:rFonts w:ascii="Times New Roman" w:hAnsi="Times New Roman" w:cs="Times New Roman" w:eastAsia="Times New Roman"/>
                <w:b w:val="0"/>
                <w:i w:val="0"/>
                <w:color w:val="000000"/>
                <w:sz w:val="24"/>
                <w:szCs w:val="24"/>
              </w:rPr>
              <w:t>-</w:t>
            </w:r>
          </w:p>
        </w:tc>
        <w:tc>
          <w:tcPr>
            <w:tcW w:w="1276"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0"/>
                <w:i w:val="0"/>
                <w:color w:val="000000"/>
                <w:sz w:val="24"/>
                <w:szCs w:val="24"/>
              </w:rPr>
              <w:t> </w:t>
            </w:r>
          </w:p>
        </w:tc>
      </w:tr>
      <w:tr>
        <w:trPr>
          <w:trHeight w:hRule="atLeast" w:val="38"/>
        </w:trPr>
        <w:tc>
          <w:tcPr>
            <w:tcW w:w="1137"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0"/>
                <w:i w:val="0"/>
                <w:color w:val="000000"/>
                <w:sz w:val="24"/>
                <w:szCs w:val="24"/>
              </w:rPr>
              <w:t>5.</w:t>
            </w:r>
          </w:p>
        </w:tc>
        <w:tc>
          <w:tcPr>
            <w:tcW w:w="6726"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Подготовка и содержание в готовности необходимых сил и средств для защиты населения и территорий от чрезвычайных ситуаций</w:t>
            </w:r>
          </w:p>
        </w:tc>
        <w:tc>
          <w:tcPr>
            <w:tcW w:w="1277"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0"/>
                <w:i w:val="0"/>
                <w:color w:val="000000"/>
                <w:sz w:val="24"/>
                <w:szCs w:val="24"/>
              </w:rPr>
              <w:t> </w:t>
            </w:r>
          </w:p>
        </w:tc>
        <w:tc>
          <w:tcPr>
            <w:tcW w:w="1561"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center"/>
            </w:pPr>
            <w:r>
              <w:rPr>
                <w:rFonts w:ascii="Times New Roman" w:hAnsi="Times New Roman" w:cs="Times New Roman" w:eastAsia="Times New Roman"/>
                <w:b w:val="0"/>
                <w:i w:val="0"/>
                <w:color w:val="000000"/>
                <w:sz w:val="24"/>
                <w:szCs w:val="24"/>
              </w:rPr>
              <w:t>-</w:t>
            </w:r>
          </w:p>
        </w:tc>
        <w:tc>
          <w:tcPr>
            <w:tcW w:w="1407"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center"/>
            </w:pPr>
            <w:r>
              <w:rPr>
                <w:rFonts w:ascii="Times New Roman" w:hAnsi="Times New Roman" w:cs="Times New Roman" w:eastAsia="Times New Roman"/>
                <w:b w:val="0"/>
                <w:i w:val="0"/>
                <w:color w:val="000000"/>
                <w:sz w:val="24"/>
                <w:szCs w:val="24"/>
              </w:rPr>
              <w:t>-</w:t>
            </w:r>
          </w:p>
          <w:p>
            <w:pPr>
              <w:spacing w:before="0" w:after="0" w:beforeAutospacing="0" w:afterAutospacing="0"/>
              <w:ind w:firstLine="0" w:left="0" w:right="0"/>
              <w:jc w:val="center"/>
            </w:pPr>
            <w:r>
              <w:rPr>
                <w:rFonts w:ascii="Times New Roman" w:hAnsi="Times New Roman" w:cs="Times New Roman" w:eastAsia="Times New Roman"/>
                <w:b w:val="0"/>
                <w:i w:val="0"/>
                <w:color w:val="000000"/>
                <w:sz w:val="24"/>
                <w:szCs w:val="24"/>
              </w:rPr>
              <w:t> </w:t>
            </w:r>
          </w:p>
        </w:tc>
        <w:tc>
          <w:tcPr>
            <w:tcW w:w="1276"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 </w:t>
            </w:r>
          </w:p>
        </w:tc>
      </w:tr>
      <w:tr>
        <w:trPr>
          <w:trHeight w:hRule="atLeast" w:val="38"/>
        </w:trPr>
        <w:tc>
          <w:tcPr>
            <w:tcW w:w="1137"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0"/>
                <w:i w:val="0"/>
                <w:color w:val="000000"/>
                <w:sz w:val="24"/>
                <w:szCs w:val="24"/>
              </w:rPr>
              <w:t>6.</w:t>
            </w:r>
          </w:p>
        </w:tc>
        <w:tc>
          <w:tcPr>
            <w:tcW w:w="6726"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Организация и проведение поисково-спасательных, аварийно-спасательных и других неотложных работ при чрезвычайных ситуациях</w:t>
            </w:r>
          </w:p>
        </w:tc>
        <w:tc>
          <w:tcPr>
            <w:tcW w:w="1277"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0"/>
                <w:i w:val="0"/>
                <w:color w:val="000000"/>
                <w:sz w:val="24"/>
                <w:szCs w:val="24"/>
              </w:rPr>
              <w:t> </w:t>
            </w:r>
          </w:p>
        </w:tc>
        <w:tc>
          <w:tcPr>
            <w:tcW w:w="1561"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center"/>
            </w:pPr>
            <w:r>
              <w:rPr>
                <w:rFonts w:ascii="Times New Roman" w:hAnsi="Times New Roman" w:cs="Times New Roman" w:eastAsia="Times New Roman"/>
                <w:b w:val="0"/>
                <w:i w:val="0"/>
                <w:color w:val="000000"/>
                <w:sz w:val="24"/>
                <w:szCs w:val="24"/>
              </w:rPr>
              <w:t>-</w:t>
            </w:r>
          </w:p>
        </w:tc>
        <w:tc>
          <w:tcPr>
            <w:tcW w:w="1407"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center"/>
            </w:pPr>
            <w:r>
              <w:rPr>
                <w:rFonts w:ascii="Times New Roman" w:hAnsi="Times New Roman" w:cs="Times New Roman" w:eastAsia="Times New Roman"/>
                <w:b w:val="0"/>
                <w:i w:val="0"/>
                <w:color w:val="000000"/>
                <w:sz w:val="24"/>
                <w:szCs w:val="24"/>
              </w:rPr>
              <w:t>-</w:t>
            </w:r>
          </w:p>
        </w:tc>
        <w:tc>
          <w:tcPr>
            <w:tcW w:w="1276"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0"/>
                <w:i w:val="0"/>
                <w:color w:val="000000"/>
                <w:sz w:val="24"/>
                <w:szCs w:val="24"/>
              </w:rPr>
              <w:t> </w:t>
            </w:r>
          </w:p>
        </w:tc>
      </w:tr>
      <w:tr>
        <w:trPr>
          <w:trHeight w:hRule="atLeast" w:val="38"/>
        </w:trPr>
        <w:tc>
          <w:tcPr>
            <w:tcW w:w="1137"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0"/>
                <w:i w:val="0"/>
                <w:color w:val="000000"/>
                <w:sz w:val="24"/>
                <w:szCs w:val="24"/>
              </w:rPr>
              <w:t>7.</w:t>
            </w:r>
          </w:p>
        </w:tc>
        <w:tc>
          <w:tcPr>
            <w:tcW w:w="6726"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Организация и проведение работ и мероприятий в целях обеспечения реагирования на чрезвычайные ситуации</w:t>
            </w:r>
          </w:p>
        </w:tc>
        <w:tc>
          <w:tcPr>
            <w:tcW w:w="1277"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0"/>
                <w:i w:val="0"/>
                <w:color w:val="000000"/>
                <w:sz w:val="24"/>
                <w:szCs w:val="24"/>
              </w:rPr>
              <w:t> </w:t>
            </w:r>
          </w:p>
        </w:tc>
        <w:tc>
          <w:tcPr>
            <w:tcW w:w="1561"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center"/>
            </w:pPr>
            <w:r>
              <w:rPr>
                <w:rFonts w:ascii="Times New Roman" w:hAnsi="Times New Roman" w:cs="Times New Roman" w:eastAsia="Times New Roman"/>
                <w:b w:val="0"/>
                <w:i w:val="0"/>
                <w:color w:val="000000"/>
                <w:sz w:val="24"/>
                <w:szCs w:val="24"/>
              </w:rPr>
              <w:t>-</w:t>
            </w:r>
          </w:p>
        </w:tc>
        <w:tc>
          <w:tcPr>
            <w:tcW w:w="1407"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center"/>
            </w:pPr>
            <w:r>
              <w:rPr>
                <w:rFonts w:ascii="Times New Roman" w:hAnsi="Times New Roman" w:cs="Times New Roman" w:eastAsia="Times New Roman"/>
                <w:b w:val="0"/>
                <w:i w:val="0"/>
                <w:color w:val="000000"/>
                <w:sz w:val="24"/>
                <w:szCs w:val="24"/>
              </w:rPr>
              <w:t>-</w:t>
            </w:r>
          </w:p>
          <w:p>
            <w:pPr>
              <w:spacing w:before="0" w:after="0" w:beforeAutospacing="0" w:afterAutospacing="0"/>
              <w:ind w:firstLine="0" w:left="0" w:right="0"/>
              <w:jc w:val="center"/>
            </w:pPr>
            <w:r>
              <w:rPr>
                <w:rFonts w:ascii="Times New Roman" w:hAnsi="Times New Roman" w:cs="Times New Roman" w:eastAsia="Times New Roman"/>
                <w:b w:val="0"/>
                <w:i w:val="0"/>
                <w:color w:val="000000"/>
                <w:sz w:val="24"/>
                <w:szCs w:val="24"/>
              </w:rPr>
              <w:t> </w:t>
            </w:r>
          </w:p>
        </w:tc>
        <w:tc>
          <w:tcPr>
            <w:tcW w:w="1276"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0"/>
                <w:i w:val="0"/>
                <w:color w:val="000000"/>
                <w:sz w:val="24"/>
                <w:szCs w:val="24"/>
              </w:rPr>
              <w:t> </w:t>
            </w:r>
          </w:p>
        </w:tc>
      </w:tr>
      <w:tr>
        <w:trPr>
          <w:trHeight w:hRule="atLeast" w:val="38"/>
        </w:trPr>
        <w:tc>
          <w:tcPr>
            <w:tcW w:w="1137"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0"/>
                <w:i w:val="0"/>
                <w:color w:val="000000"/>
                <w:sz w:val="24"/>
                <w:szCs w:val="24"/>
              </w:rPr>
              <w:t>8.</w:t>
            </w:r>
          </w:p>
        </w:tc>
        <w:tc>
          <w:tcPr>
            <w:tcW w:w="6726"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Организация и проведение работ по обеспечению безопасности людей на водных объектах</w:t>
            </w:r>
          </w:p>
        </w:tc>
        <w:tc>
          <w:tcPr>
            <w:tcW w:w="1277"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0"/>
                <w:i w:val="0"/>
                <w:color w:val="000000"/>
                <w:sz w:val="24"/>
                <w:szCs w:val="24"/>
              </w:rPr>
              <w:t> </w:t>
            </w:r>
          </w:p>
        </w:tc>
        <w:tc>
          <w:tcPr>
            <w:tcW w:w="1561"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center"/>
            </w:pPr>
            <w:r>
              <w:rPr>
                <w:rFonts w:ascii="Times New Roman" w:hAnsi="Times New Roman" w:cs="Times New Roman" w:eastAsia="Times New Roman"/>
                <w:b w:val="0"/>
                <w:i w:val="0"/>
                <w:color w:val="000000"/>
                <w:sz w:val="24"/>
                <w:szCs w:val="24"/>
              </w:rPr>
              <w:t>-</w:t>
            </w:r>
          </w:p>
        </w:tc>
        <w:tc>
          <w:tcPr>
            <w:tcW w:w="1407"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center"/>
            </w:pPr>
            <w:r>
              <w:rPr>
                <w:rFonts w:ascii="Times New Roman" w:hAnsi="Times New Roman" w:cs="Times New Roman" w:eastAsia="Times New Roman"/>
                <w:b w:val="0"/>
                <w:i w:val="0"/>
                <w:color w:val="000000"/>
                <w:sz w:val="24"/>
                <w:szCs w:val="24"/>
              </w:rPr>
              <w:t>-</w:t>
            </w:r>
          </w:p>
        </w:tc>
        <w:tc>
          <w:tcPr>
            <w:tcW w:w="1276"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0"/>
                <w:i w:val="0"/>
                <w:color w:val="000000"/>
                <w:sz w:val="24"/>
                <w:szCs w:val="24"/>
              </w:rPr>
              <w:t> </w:t>
            </w:r>
          </w:p>
        </w:tc>
      </w:tr>
      <w:tr>
        <w:trPr>
          <w:trHeight w:hRule="atLeast" w:val="38"/>
        </w:trPr>
        <w:tc>
          <w:tcPr>
            <w:tcW w:w="1137"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0"/>
                <w:i w:val="0"/>
                <w:color w:val="000000"/>
                <w:sz w:val="24"/>
                <w:szCs w:val="24"/>
              </w:rPr>
              <w:t>9.</w:t>
            </w:r>
          </w:p>
        </w:tc>
        <w:tc>
          <w:tcPr>
            <w:tcW w:w="6726"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Деятельность по обеспечению пожарной безопасности. Организация тушения пожаров</w:t>
            </w:r>
          </w:p>
        </w:tc>
        <w:tc>
          <w:tcPr>
            <w:tcW w:w="1277"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0"/>
                <w:i w:val="0"/>
                <w:color w:val="000000"/>
                <w:sz w:val="24"/>
                <w:szCs w:val="24"/>
              </w:rPr>
              <w:t> </w:t>
            </w:r>
          </w:p>
        </w:tc>
        <w:tc>
          <w:tcPr>
            <w:tcW w:w="1561"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center"/>
            </w:pPr>
            <w:r>
              <w:rPr>
                <w:rFonts w:ascii="Times New Roman" w:hAnsi="Times New Roman" w:cs="Times New Roman" w:eastAsia="Times New Roman"/>
                <w:b w:val="0"/>
                <w:i w:val="0"/>
                <w:color w:val="000000"/>
                <w:sz w:val="24"/>
                <w:szCs w:val="24"/>
              </w:rPr>
              <w:t>-</w:t>
            </w:r>
          </w:p>
        </w:tc>
        <w:tc>
          <w:tcPr>
            <w:tcW w:w="1407"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center"/>
            </w:pPr>
            <w:r>
              <w:rPr>
                <w:rFonts w:ascii="Times New Roman" w:hAnsi="Times New Roman" w:cs="Times New Roman" w:eastAsia="Times New Roman"/>
                <w:b w:val="0"/>
                <w:i w:val="0"/>
                <w:color w:val="000000"/>
                <w:sz w:val="24"/>
                <w:szCs w:val="24"/>
              </w:rPr>
              <w:t>-</w:t>
            </w:r>
          </w:p>
        </w:tc>
        <w:tc>
          <w:tcPr>
            <w:tcW w:w="1276"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0" w:type="dxa"/>
              <w:bottom w:w="0" w:type="dxa"/>
              <w:right w:w="0" w:type="dxa"/>
            </w:tcMar>
            <w:vAlign w:val="top"/>
            <w:hideMark/>
          </w:tcPr>
          <w:p>
            <w:pPr>
              <w:spacing w:before="0" w:after="0" w:beforeAutospacing="0" w:afterAutospacing="0"/>
              <w:ind w:firstLine="0" w:left="0" w:right="0"/>
              <w:jc w:val="left"/>
            </w:pPr>
            <w:r>
              <w:rPr>
                <w:rFonts w:ascii="Calibri" w:hAnsi="Calibri" w:cs="Calibri" w:eastAsia="Calibri"/>
                <w:b w:val="0"/>
                <w:i w:val="0"/>
                <w:color w:val="000000"/>
                <w:sz w:val="24"/>
                <w:szCs w:val="24"/>
              </w:rPr>
              <w:t> </w:t>
            </w:r>
          </w:p>
        </w:tc>
      </w:tr>
    </w:tbl>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4"/>
          <w:szCs w:val="24"/>
        </w:rPr>
        <w:t> </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0309 0540165260 611 241</w:t>
      </w:r>
      <w:r>
        <w:rPr>
          <w:rFonts w:ascii="Times New Roman" w:hAnsi="Times New Roman" w:cs="Times New Roman" w:eastAsia="Times New Roman"/>
          <w:b w:val="0"/>
          <w:i w:val="0"/>
          <w:color w:val="000000"/>
          <w:sz w:val="28"/>
          <w:szCs w:val="28"/>
        </w:rPr>
        <w:t xml:space="preserve"> предупреждение и ликвидация последствий чрезвычайных ситуаций и стихийных бедствий природного и техногенного характера на выполнение госзадания ГУ «ППСЦ» запланировано 427 000,00 руб., исполнено 240 130,00 руб. (56,2%).</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4"/>
          <w:szCs w:val="24"/>
        </w:rPr>
        <w:t> </w:t>
      </w: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 xml:space="preserve">КБК 840 0310 0540165310 612 241 </w:t>
      </w:r>
      <w:r>
        <w:rPr>
          <w:rFonts w:ascii="Times New Roman" w:hAnsi="Times New Roman" w:cs="Times New Roman" w:eastAsia="Times New Roman"/>
          <w:b w:val="0"/>
          <w:i w:val="0"/>
          <w:color w:val="000000"/>
          <w:sz w:val="28"/>
          <w:szCs w:val="28"/>
        </w:rPr>
        <w:t>участие ГБУ «Пензенский пожарно-спасательный центр» в реализации специального инфраструктурного проекта и иных проектов выделено 48 273 963,59 руб., освоено 43 461 392,26 руб. (90,0%).</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 xml:space="preserve">КБК 840 0310 0540165260 612 281 </w:t>
      </w:r>
      <w:r>
        <w:rPr>
          <w:rFonts w:ascii="Times New Roman" w:hAnsi="Times New Roman" w:cs="Times New Roman" w:eastAsia="Times New Roman"/>
          <w:b w:val="0"/>
          <w:i w:val="0"/>
          <w:color w:val="000000"/>
          <w:sz w:val="28"/>
          <w:szCs w:val="28"/>
        </w:rPr>
        <w:t>по подпрограмме «Снижение рисков и смягчение последствий чрезвычайных ситуаций природного и техногенного характера и обеспечение пожарной безопасности Пензенской области» в рамках государственной программы Пензенской области «Защита населения и территорий от чрезвычайных ситуаций, обеспечение пожарной безопасности в Пензенской области на 2014 - 2024 годы» (территория ДНР и ЛНР) выделено 3 168 000,00 руб., освоено 3 168 000,00 руб. (100,0%).</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0310 0540164730 612 241</w:t>
      </w:r>
      <w:r>
        <w:rPr>
          <w:rFonts w:ascii="Times New Roman" w:hAnsi="Times New Roman" w:cs="Times New Roman" w:eastAsia="Times New Roman"/>
          <w:b w:val="0"/>
          <w:i w:val="0"/>
          <w:color w:val="000000"/>
          <w:sz w:val="28"/>
          <w:szCs w:val="28"/>
        </w:rPr>
        <w:t xml:space="preserve"> в сумме 2 886 300,00 руб. на ежемесячную денежную выплату спасателям планируется к освоению по мере достижения спасателями соответствующего стажа, дающего право на получение выплаты, перечислено - 2 167 725,00 руб. или 75,1%.</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0204 0540465300 612 241</w:t>
      </w:r>
      <w:r>
        <w:rPr>
          <w:rFonts w:ascii="Times New Roman" w:hAnsi="Times New Roman" w:cs="Times New Roman" w:eastAsia="Times New Roman"/>
          <w:b w:val="0"/>
          <w:i w:val="0"/>
          <w:color w:val="000000"/>
          <w:sz w:val="28"/>
          <w:szCs w:val="28"/>
        </w:rPr>
        <w:t xml:space="preserve"> создание, восполнение резервов материальных ресурсов Пензенской области для ликвидации чрезвычайных ситуаций межмуниципального и регионального характера в сумме 200,00 руб., исполнено на 100,0% (200,00 руб.).</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0310 0540465330 612 241</w:t>
      </w:r>
      <w:r>
        <w:rPr>
          <w:rFonts w:ascii="Times New Roman" w:hAnsi="Times New Roman" w:cs="Times New Roman" w:eastAsia="Times New Roman"/>
          <w:b w:val="0"/>
          <w:i w:val="0"/>
          <w:color w:val="000000"/>
          <w:sz w:val="28"/>
          <w:szCs w:val="28"/>
        </w:rPr>
        <w:t xml:space="preserve"> проведение областного смотра-конкурса на звание «Лучший добровольный пожарный Пензенской области» план 103 960,00 руб., освоено 3 960,00 руб. (3,8%).</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0310 0540164480 612 281</w:t>
      </w:r>
      <w:r>
        <w:rPr>
          <w:rFonts w:ascii="Times New Roman" w:hAnsi="Times New Roman" w:cs="Times New Roman" w:eastAsia="Times New Roman"/>
          <w:b w:val="0"/>
          <w:i w:val="0"/>
          <w:color w:val="000000"/>
          <w:sz w:val="28"/>
          <w:szCs w:val="28"/>
        </w:rPr>
        <w:t xml:space="preserve"> приобретение спецтехники и оборудования для эффективности выполнения задач в области гражданской обороны, защиты населения и территорий от чрезвычайных ситуаций, обеспечения пожарной безопасности, обучения населения по гражданской обороне, приема и обработки вызовов по номеру «112» план 2 595 730,00 руб. Освоение 1 089 346,00 руб. (41,9%).</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0310 0540164480 612 241</w:t>
      </w:r>
      <w:r>
        <w:rPr>
          <w:rFonts w:ascii="Times New Roman" w:hAnsi="Times New Roman" w:cs="Times New Roman" w:eastAsia="Times New Roman"/>
          <w:b w:val="0"/>
          <w:i w:val="0"/>
          <w:color w:val="000000"/>
          <w:sz w:val="28"/>
          <w:szCs w:val="28"/>
        </w:rPr>
        <w:t xml:space="preserve"> приобретение спецтехники и оборудования для эффективности выполнения задач в области гражданской обороны, защиты населения и территорий от чрезвычайных ситуаций, обеспечения пожарной безопасности, обучения населения по гражданской обороне, приема и обработки вызовов по номеру «112» план 84 460,00 руб. Освоение планируется в 4 квартале 2024 года.</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0309 993002055 612 281</w:t>
      </w:r>
      <w:r>
        <w:rPr>
          <w:rFonts w:ascii="Times New Roman" w:hAnsi="Times New Roman" w:cs="Times New Roman" w:eastAsia="Times New Roman"/>
          <w:b w:val="0"/>
          <w:i w:val="0"/>
          <w:color w:val="000000"/>
          <w:sz w:val="28"/>
          <w:szCs w:val="28"/>
        </w:rPr>
        <w:t xml:space="preserve"> резервный фонд Правительства Пензенской области план 1 500 000,00 руб. Освоение 1 500 000,00 руб. (100,0%).</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0502 0221ПR4870 540 251</w:t>
      </w:r>
      <w:r>
        <w:rPr>
          <w:rFonts w:ascii="Times New Roman" w:hAnsi="Times New Roman" w:cs="Times New Roman" w:eastAsia="Times New Roman"/>
          <w:b w:val="0"/>
          <w:i w:val="0"/>
          <w:color w:val="000000"/>
          <w:sz w:val="28"/>
          <w:szCs w:val="28"/>
        </w:rPr>
        <w:t xml:space="preserve"> Реализация пилотного проекта, направленного на стимулирование рождаемости план 26 398 456,74 руб. Освоение 13 666 740,08 руб. (51,8%).</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0502 0221ПR4870 540 254</w:t>
      </w:r>
      <w:r>
        <w:rPr>
          <w:rFonts w:ascii="Times New Roman" w:hAnsi="Times New Roman" w:cs="Times New Roman" w:eastAsia="Times New Roman"/>
          <w:b w:val="0"/>
          <w:i w:val="0"/>
          <w:color w:val="000000"/>
          <w:sz w:val="28"/>
          <w:szCs w:val="28"/>
        </w:rPr>
        <w:t xml:space="preserve"> Реализация пилотного проекта, направленного на стимулирование рождаемости план 36 799 456,52 руб. Освоено 5 693 836,96 руб. (15,5%).</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0502 0221ПR4870 540 251</w:t>
      </w:r>
      <w:r>
        <w:rPr>
          <w:rFonts w:ascii="Times New Roman" w:hAnsi="Times New Roman" w:cs="Times New Roman" w:eastAsia="Times New Roman"/>
          <w:b w:val="0"/>
          <w:i w:val="0"/>
          <w:color w:val="000000"/>
          <w:sz w:val="28"/>
          <w:szCs w:val="28"/>
        </w:rPr>
        <w:t xml:space="preserve"> Реализация пилотного проекта, направленного на стимулирование рождаемости план 190 854 130,43 руб. Освоение 93 606 056,67 руб. (49,0%).</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В рамках реализации Федерального закона от 21.07.2007 № 185-ФЗ «О Фонде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xml:space="preserve">- </w:t>
      </w:r>
      <w:r>
        <w:rPr>
          <w:rFonts w:ascii="Times New Roman" w:hAnsi="Times New Roman" w:cs="Times New Roman" w:eastAsia="Times New Roman"/>
          <w:b w:val="1"/>
          <w:i w:val="1"/>
          <w:color w:val="000000"/>
          <w:sz w:val="28"/>
          <w:szCs w:val="28"/>
        </w:rPr>
        <w:t>КБК 840 0501 151F367484 522 254</w:t>
      </w:r>
      <w:r>
        <w:rPr>
          <w:rFonts w:ascii="Times New Roman" w:hAnsi="Times New Roman" w:cs="Times New Roman" w:eastAsia="Times New Roman"/>
          <w:b w:val="0"/>
          <w:i w:val="0"/>
          <w:color w:val="000000"/>
          <w:sz w:val="28"/>
          <w:szCs w:val="28"/>
        </w:rPr>
        <w:t xml:space="preserve"> за счет средств бюджета Пензенской области запланировано на год 5 203 716,69 руб. Перечислено 4 857 728,60 руб. или 93,4%.</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xml:space="preserve">- </w:t>
      </w:r>
      <w:r>
        <w:rPr>
          <w:rFonts w:ascii="Times New Roman" w:hAnsi="Times New Roman" w:cs="Times New Roman" w:eastAsia="Times New Roman"/>
          <w:b w:val="1"/>
          <w:i w:val="1"/>
          <w:color w:val="000000"/>
          <w:sz w:val="28"/>
          <w:szCs w:val="28"/>
        </w:rPr>
        <w:t>КБК 840 0501 151F367483 522 254</w:t>
      </w:r>
      <w:r>
        <w:rPr>
          <w:rFonts w:ascii="Times New Roman" w:hAnsi="Times New Roman" w:cs="Times New Roman" w:eastAsia="Times New Roman"/>
          <w:b w:val="0"/>
          <w:i w:val="0"/>
          <w:color w:val="000000"/>
          <w:sz w:val="28"/>
          <w:szCs w:val="28"/>
        </w:rPr>
        <w:t xml:space="preserve"> за счет средств Фонда запланировано на год 515 168 394,96 руб. Перечислено 480 915 659,39 руб. или 93,4%.</w:t>
      </w:r>
    </w:p>
    <w:p>
      <w:pPr>
        <w:spacing w:before="0" w:after="0" w:beforeAutospacing="0" w:afterAutospacing="0"/>
        <w:ind w:firstLine="70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0505 1540166210 633 246</w:t>
      </w:r>
      <w:r>
        <w:rPr>
          <w:rFonts w:ascii="Times New Roman" w:hAnsi="Times New Roman" w:cs="Times New Roman" w:eastAsia="Times New Roman"/>
          <w:b w:val="0"/>
          <w:i w:val="0"/>
          <w:color w:val="000000"/>
          <w:sz w:val="28"/>
          <w:szCs w:val="28"/>
        </w:rPr>
        <w:t xml:space="preserve"> имущественный взнос Пензенской области в некоммерческую организацию «Региональный фонд капитального ремонта многоквартирных домов Пензенской области» в отчетном периоде перечислен на сумму 37 419 124,28 руб. или 73,3% от годового объема в сумме 51 040 100,00 руб.</w:t>
      </w:r>
    </w:p>
    <w:p>
      <w:pPr>
        <w:spacing w:before="0" w:after="0" w:beforeAutospacing="0" w:afterAutospacing="0"/>
        <w:ind w:firstLine="70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0113 9930020500 244 349</w:t>
      </w:r>
      <w:r>
        <w:rPr>
          <w:rFonts w:ascii="Times New Roman" w:hAnsi="Times New Roman" w:cs="Times New Roman" w:eastAsia="Times New Roman"/>
          <w:b w:val="0"/>
          <w:i w:val="0"/>
          <w:color w:val="000000"/>
          <w:sz w:val="28"/>
          <w:szCs w:val="28"/>
        </w:rPr>
        <w:t xml:space="preserve"> резервный фонд Правительства Пензенской области освоено 1 370 670,00 руб. при плане 1 370 670,00 руб. (100,0%).</w:t>
      </w:r>
    </w:p>
    <w:p>
      <w:pPr>
        <w:spacing w:before="0" w:after="0" w:beforeAutospacing="0" w:afterAutospacing="0"/>
        <w:ind w:firstLine="70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0502 9930020500 244 310</w:t>
      </w:r>
      <w:r>
        <w:rPr>
          <w:rFonts w:ascii="Times New Roman" w:hAnsi="Times New Roman" w:cs="Times New Roman" w:eastAsia="Times New Roman"/>
          <w:b w:val="0"/>
          <w:i w:val="0"/>
          <w:color w:val="000000"/>
          <w:sz w:val="28"/>
          <w:szCs w:val="28"/>
        </w:rPr>
        <w:t xml:space="preserve"> резервный фонд Правительства Пензенской области освоено 3 821 030,96 руб. при плане 3 821 030,96 руб. (100,0%).</w:t>
      </w:r>
    </w:p>
    <w:p>
      <w:pPr>
        <w:spacing w:before="0" w:after="0" w:beforeAutospacing="0" w:afterAutospacing="0"/>
        <w:ind w:firstLine="70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0502 9930020500 244 349</w:t>
      </w:r>
      <w:r>
        <w:rPr>
          <w:rFonts w:ascii="Times New Roman" w:hAnsi="Times New Roman" w:cs="Times New Roman" w:eastAsia="Times New Roman"/>
          <w:b w:val="0"/>
          <w:i w:val="0"/>
          <w:color w:val="000000"/>
          <w:sz w:val="28"/>
          <w:szCs w:val="28"/>
        </w:rPr>
        <w:t xml:space="preserve"> резервный фонд Правительства Пензенской области освоено 4 338 332,80 руб. при плане 4 338 332,80 руб. (100,0%).</w:t>
      </w:r>
    </w:p>
    <w:p>
      <w:pPr>
        <w:spacing w:before="0" w:after="0" w:beforeAutospacing="0" w:afterAutospacing="0"/>
        <w:ind w:firstLine="700" w:left="0" w:right="0"/>
        <w:jc w:val="both"/>
        <w:outlineLvl w:val="9"/>
      </w:pPr>
      <w:r>
        <w:rPr>
          <w:rFonts w:ascii="Times New Roman" w:hAnsi="Times New Roman" w:cs="Times New Roman" w:eastAsia="Times New Roman"/>
          <w:b w:val="0"/>
          <w:i w:val="0"/>
          <w:color w:val="000000"/>
          <w:sz w:val="28"/>
          <w:szCs w:val="28"/>
        </w:rPr>
        <w:t xml:space="preserve">По КБК </w:t>
      </w:r>
      <w:r>
        <w:rPr>
          <w:rFonts w:ascii="Times New Roman" w:hAnsi="Times New Roman" w:cs="Times New Roman" w:eastAsia="Times New Roman"/>
          <w:b w:val="1"/>
          <w:i w:val="1"/>
          <w:color w:val="000000"/>
          <w:sz w:val="28"/>
          <w:szCs w:val="28"/>
        </w:rPr>
        <w:t>840 0502 9930020500 540 251</w:t>
      </w:r>
      <w:r>
        <w:rPr>
          <w:rFonts w:ascii="Times New Roman" w:hAnsi="Times New Roman" w:cs="Times New Roman" w:eastAsia="Times New Roman"/>
          <w:b w:val="0"/>
          <w:i w:val="0"/>
          <w:color w:val="000000"/>
          <w:sz w:val="28"/>
          <w:szCs w:val="28"/>
        </w:rPr>
        <w:t xml:space="preserve"> резервный фонд Правительства Пензенской области план 81 985 600,58 руб. Перечислено по восстановительным работам 36 584 638,78 руб. (44,6%).</w:t>
      </w:r>
    </w:p>
    <w:p>
      <w:pPr>
        <w:spacing w:before="0" w:after="0" w:beforeAutospacing="0" w:afterAutospacing="0"/>
        <w:ind w:firstLine="70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0503 9930020500 244 310</w:t>
      </w:r>
      <w:r>
        <w:rPr>
          <w:rFonts w:ascii="Times New Roman" w:hAnsi="Times New Roman" w:cs="Times New Roman" w:eastAsia="Times New Roman"/>
          <w:b w:val="0"/>
          <w:i w:val="0"/>
          <w:color w:val="000000"/>
          <w:sz w:val="28"/>
          <w:szCs w:val="28"/>
        </w:rPr>
        <w:t xml:space="preserve"> резервный фонд Правительства Пензенской области освоено 1 768 443,50 руб. при плане 1 768 443,50 руб. (100,0%).</w:t>
      </w:r>
    </w:p>
    <w:p>
      <w:pPr>
        <w:spacing w:before="0" w:after="0" w:beforeAutospacing="0" w:afterAutospacing="0"/>
        <w:ind w:firstLine="70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0503 9930020500 244 349</w:t>
      </w:r>
      <w:r>
        <w:rPr>
          <w:rFonts w:ascii="Times New Roman" w:hAnsi="Times New Roman" w:cs="Times New Roman" w:eastAsia="Times New Roman"/>
          <w:b w:val="0"/>
          <w:i w:val="0"/>
          <w:color w:val="000000"/>
          <w:sz w:val="28"/>
          <w:szCs w:val="28"/>
        </w:rPr>
        <w:t xml:space="preserve"> резервный фонд Правительства Пензенской области освоено 8 076 781,20 руб. при плане 8 076 781,20 руб. (100,0%).</w:t>
      </w:r>
    </w:p>
    <w:p>
      <w:pPr>
        <w:spacing w:before="0" w:after="0" w:beforeAutospacing="0" w:afterAutospacing="0"/>
        <w:ind w:firstLine="70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 xml:space="preserve">КБК 840 0505 9930020500 540 251 </w:t>
      </w:r>
      <w:r>
        <w:rPr>
          <w:rFonts w:ascii="Times New Roman" w:hAnsi="Times New Roman" w:cs="Times New Roman" w:eastAsia="Times New Roman"/>
          <w:b w:val="0"/>
          <w:i w:val="0"/>
          <w:color w:val="000000"/>
          <w:sz w:val="28"/>
          <w:szCs w:val="28"/>
        </w:rPr>
        <w:t>резервный фонд Правительства Пензенской области освоено 8 690 772,77 руб. при плане 8 690 800,00 руб. (100,0%).</w:t>
      </w:r>
    </w:p>
    <w:p>
      <w:pPr>
        <w:spacing w:before="0" w:after="0" w:beforeAutospacing="0" w:afterAutospacing="0"/>
        <w:ind w:firstLine="720" w:left="0" w:right="0"/>
        <w:jc w:val="both"/>
        <w:outlineLvl w:val="9"/>
      </w:pPr>
      <w:r>
        <w:rPr>
          <w:rFonts w:ascii="Calibri" w:hAnsi="Calibri" w:cs="Calibri" w:eastAsia="Calibri"/>
          <w:b w:val="0"/>
          <w:i w:val="0"/>
          <w:color w:val="000000"/>
          <w:sz w:val="22"/>
          <w:szCs w:val="22"/>
        </w:rPr>
        <w:t> </w:t>
      </w: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КБК 840 0310 8030021210 321 262</w:t>
      </w:r>
      <w:r>
        <w:rPr>
          <w:rFonts w:ascii="Times New Roman" w:hAnsi="Times New Roman" w:cs="Times New Roman" w:eastAsia="Times New Roman"/>
          <w:b w:val="0"/>
          <w:i w:val="0"/>
          <w:color w:val="000000"/>
          <w:sz w:val="28"/>
          <w:szCs w:val="28"/>
        </w:rPr>
        <w:t xml:space="preserve"> расходы на реализацию постановления Правительства Пензенской области от 04.07.2012 № 480-пП «О мерах по реализации Закона Пензенской области от 10.10.2011 № 2126-ЗПО «О некоторых вопросах, связанных с реализацией в Пензенской области Федерального закона от 6 мая 2011 года № 100-ФЗ «О добровольной пожарной охране» план 50 000,00 руб. планируются к освоению по факту предоставления заявок на выплаты.</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 xml:space="preserve">КБК 840 0505 1540120630 244 226 </w:t>
      </w:r>
      <w:r>
        <w:rPr>
          <w:rFonts w:ascii="Times New Roman" w:hAnsi="Times New Roman" w:cs="Times New Roman" w:eastAsia="Times New Roman"/>
          <w:b w:val="0"/>
          <w:i w:val="0"/>
          <w:color w:val="000000"/>
          <w:sz w:val="28"/>
          <w:szCs w:val="28"/>
        </w:rPr>
        <w:t>обеспечение деятельности межведомственной комиссии при Правительстве Пензенской области по оценке жилых помещений жилищного фонда Пензенской области, а также иных жилых помещений, созданной на основании Постановления Правительства Пензенской области от 15.02.2017 № 71-пП, в целях проведения дополнительного обследования помещений специализированной организацией, в рамках рассмотрения обращений граждан в сумме 500 000,00 руб. Планируются к освоению по факту.</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xml:space="preserve">По </w:t>
      </w:r>
      <w:r>
        <w:rPr>
          <w:rFonts w:ascii="Times New Roman" w:hAnsi="Times New Roman" w:cs="Times New Roman" w:eastAsia="Times New Roman"/>
          <w:b w:val="1"/>
          <w:i w:val="1"/>
          <w:color w:val="000000"/>
          <w:sz w:val="28"/>
          <w:szCs w:val="28"/>
        </w:rPr>
        <w:t xml:space="preserve">КБК 840 0505 8030098720 244 226 </w:t>
      </w:r>
      <w:r>
        <w:rPr>
          <w:rFonts w:ascii="Times New Roman" w:hAnsi="Times New Roman" w:cs="Times New Roman" w:eastAsia="Times New Roman"/>
          <w:b w:val="0"/>
          <w:i w:val="0"/>
          <w:color w:val="000000"/>
          <w:sz w:val="28"/>
          <w:szCs w:val="28"/>
        </w:rPr>
        <w:t>прочие расходы, связанные с оплатой услуг по предоставлению информации населению через средства массовой информации - 5 500,00 руб. Освоение 2 636,58 руб. (47,9%).</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По КБК 840 0505 9940020920 831 296 исполнение судебных актов по искам к органам государственной власти Пензенской области и государственным учреждениям Пензенской области при плане 18 600,00 руб., освоено 18 600,00 руб. (100,0%).</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w:t>
      </w:r>
    </w:p>
    <w:p>
      <w:pPr>
        <w:spacing w:before="0" w:after="0" w:beforeAutospacing="0" w:afterAutospacing="0"/>
        <w:ind w:firstLine="540" w:left="0" w:right="0"/>
        <w:jc w:val="center"/>
        <w:outlineLvl w:val="9"/>
      </w:pPr>
      <w:r>
        <w:rPr>
          <w:rFonts w:ascii="Times New Roman" w:hAnsi="Times New Roman" w:cs="Times New Roman" w:eastAsia="Times New Roman"/>
          <w:b w:val="1"/>
          <w:i w:val="0"/>
          <w:color w:val="000000"/>
          <w:sz w:val="28"/>
          <w:szCs w:val="28"/>
        </w:rPr>
        <w:t>4. Анализ показателей бухгалтерской отчетности субъекта бюджетной отчетности</w:t>
      </w:r>
    </w:p>
    <w:p>
      <w:pPr>
        <w:spacing w:before="0" w:after="0" w:beforeAutospacing="0" w:afterAutospacing="0"/>
        <w:ind w:firstLine="540" w:left="0" w:right="0"/>
        <w:jc w:val="center"/>
        <w:outlineLvl w:val="9"/>
      </w:pPr>
      <w:r>
        <w:rPr>
          <w:rFonts w:ascii="Times New Roman" w:hAnsi="Times New Roman" w:cs="Times New Roman" w:eastAsia="Times New Roman"/>
          <w:b w:val="1"/>
          <w:i w:val="0"/>
          <w:color w:val="000000"/>
          <w:sz w:val="28"/>
          <w:szCs w:val="28"/>
        </w:rPr>
        <w:t> </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По состоянию на 01.10.2024г. дебиторская задолженность по Министерству составила  234 573 358,67 руб., в том числе:</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8"/>
          <w:szCs w:val="28"/>
        </w:rPr>
        <w:t>- дебиторская задолженность по доходам в сумме 58 851 255,52 руб., в т.ч. просроченная - 6 791 268,31 руб.</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4"/>
          <w:szCs w:val="24"/>
        </w:rPr>
        <w:t> </w:t>
      </w:r>
    </w:p>
    <w:tbl>
      <w:tblPr>
        <w:tblW w:w="14010" w:type="dxa"/>
        <w:tblInd w:w="-332" w:type="dxa"/>
        <w:tblBorders>
          <w:top w:val="none" w:sz="0" w:space="0" w:shadow="0" w:frame="0" w:color="000000"/>
          <w:left w:val="none" w:sz="0" w:space="0" w:shadow="0" w:frame="0" w:color="000000"/>
          <w:bottom w:val="none" w:sz="0" w:space="0" w:shadow="0" w:frame="0" w:color="000000"/>
          <w:right w:val="none" w:sz="0" w:space="0" w:shadow="0" w:frame="0" w:color="000000"/>
          <w:insideH w:val="none" w:sz="0" w:space="0" w:shadow="0" w:frame="0" w:color="auto"/>
          <w:insideV w:val="none" w:sz="0" w:space="0" w:shadow="0" w:frame="0" w:color="auto"/>
        </w:tblBorders>
        <w:tblLayout w:type="autofit"/>
        <w:tblCellMar>
          <w:top w:w="0" w:type="dxa"/>
          <w:left w:w="0" w:type="dxa"/>
          <w:bottom w:w="0" w:type="dxa"/>
          <w:right w:w="0" w:type="dxa"/>
        </w:tblCellMar>
      </w:tblPr>
      <w:tblGrid/>
      <w:tr>
        <w:tc>
          <w:tcPr>
            <w:tcW w:w="2764"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0"/>
                <w:i w:val="0"/>
                <w:color w:val="000000"/>
                <w:sz w:val="28"/>
                <w:szCs w:val="28"/>
              </w:rPr>
              <w:t>   </w:t>
            </w:r>
            <w:r>
              <w:rPr>
                <w:rFonts w:ascii="Times New Roman" w:hAnsi="Times New Roman" w:cs="Times New Roman" w:eastAsia="Times New Roman"/>
                <w:b w:val="0"/>
                <w:i w:val="0"/>
                <w:color w:val="000000"/>
                <w:sz w:val="24"/>
                <w:szCs w:val="24"/>
              </w:rPr>
              <w:t> </w:t>
            </w:r>
            <w:r>
              <w:rPr>
                <w:rFonts w:ascii="Times New Roman" w:hAnsi="Times New Roman" w:cs="Times New Roman" w:eastAsia="Times New Roman"/>
                <w:b w:val="1"/>
                <w:i w:val="0"/>
                <w:color w:val="000000"/>
                <w:sz w:val="24"/>
                <w:szCs w:val="24"/>
              </w:rPr>
              <w:t>Вид задолженности</w:t>
            </w:r>
          </w:p>
        </w:tc>
        <w:tc>
          <w:tcPr>
            <w:tcW w:w="1708"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1"/>
                <w:i w:val="0"/>
                <w:color w:val="000000"/>
                <w:sz w:val="24"/>
                <w:szCs w:val="24"/>
              </w:rPr>
              <w:t>Количество контрагентов</w:t>
            </w:r>
          </w:p>
        </w:tc>
        <w:tc>
          <w:tcPr>
            <w:tcW w:w="1501"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1"/>
                <w:i w:val="0"/>
                <w:color w:val="000000"/>
                <w:sz w:val="24"/>
                <w:szCs w:val="24"/>
              </w:rPr>
              <w:t>Сумма, руб.</w:t>
            </w:r>
          </w:p>
        </w:tc>
        <w:tc>
          <w:tcPr>
            <w:tcW w:w="2573"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1"/>
                <w:i w:val="0"/>
                <w:color w:val="000000"/>
                <w:sz w:val="24"/>
                <w:szCs w:val="24"/>
              </w:rPr>
              <w:t>Причина образования</w:t>
            </w:r>
          </w:p>
        </w:tc>
        <w:tc>
          <w:tcPr>
            <w:tcW w:w="5464"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1"/>
                <w:i w:val="0"/>
                <w:color w:val="000000"/>
                <w:sz w:val="24"/>
                <w:szCs w:val="24"/>
              </w:rPr>
              <w:t>Принимаемые меры</w:t>
            </w:r>
          </w:p>
        </w:tc>
      </w:tr>
      <w:tr>
        <w:trPr>
          <w:trHeight w:hRule="atLeast" w:val="442"/>
        </w:trPr>
        <w:tc>
          <w:tcPr>
            <w:tcW w:w="2764"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КБК 84011601072010233140</w:t>
            </w:r>
          </w:p>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(ст. 7.22 Нарушение правил содержания и ремонта жилых домов и (или) жилых помещений)</w:t>
            </w:r>
          </w:p>
        </w:tc>
        <w:tc>
          <w:tcPr>
            <w:tcW w:w="1708"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0"/>
                <w:i w:val="0"/>
                <w:color w:val="000000"/>
                <w:sz w:val="24"/>
                <w:szCs w:val="24"/>
              </w:rPr>
              <w:t>22</w:t>
            </w:r>
          </w:p>
        </w:tc>
        <w:tc>
          <w:tcPr>
            <w:tcW w:w="1501"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0"/>
                <w:i w:val="0"/>
                <w:color w:val="000000"/>
                <w:sz w:val="24"/>
                <w:szCs w:val="24"/>
              </w:rPr>
              <w:t>560 655,73</w:t>
            </w:r>
          </w:p>
        </w:tc>
        <w:tc>
          <w:tcPr>
            <w:tcW w:w="2573" w:type="dxa"/>
            <w:vMerge w:val="restart"/>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0"/>
                <w:i w:val="0"/>
                <w:color w:val="000000"/>
                <w:sz w:val="24"/>
                <w:szCs w:val="24"/>
              </w:rPr>
              <w:t>Не оплата вовремя по вынесенным Министерством постановлениям , неплатежеспособность должников</w:t>
            </w:r>
          </w:p>
        </w:tc>
        <w:tc>
          <w:tcPr>
            <w:tcW w:w="5464"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 составлены протоколы по ст. 20.25 КоАП РФ и  направлены судебным приставам;</w:t>
            </w:r>
          </w:p>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 Министерством проводится работа по контролю за ходом исполнительных производств, направляются запросы в отделы УФССП по Пензенской области;</w:t>
            </w:r>
          </w:p>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 по обращениям Министерства в рамках исполнительных производств обновлены запросы в регистрирующие органы и кредитные организации;  </w:t>
            </w:r>
          </w:p>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 xml:space="preserve">- одному должнику вынесено постановление о временном  ограничении на выезд из РФ; </w:t>
            </w:r>
          </w:p>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 xml:space="preserve">- сформировано сводное исполнительное производство; </w:t>
            </w:r>
          </w:p>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 службой судебных приставов проводится работа по взысканию задолженности в соответствии с законом об исполнительном производстве № 229-ФЗ от 02.10.2007г. (по направленным Министерством протоколам);</w:t>
            </w:r>
          </w:p>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 в 2024 году взысканы</w:t>
            </w:r>
          </w:p>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просроченные штрафы на сумму 1,6 тыс.руб. (за 2023 год);</w:t>
            </w:r>
          </w:p>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 увеличение просроченной дебиторской задолженности в 2024 году по вновь вынесенным постановлениям на сумму 22,7 тыс. руб.</w:t>
            </w:r>
          </w:p>
        </w:tc>
      </w:tr>
      <w:tr>
        <w:trPr>
          <w:trHeight w:hRule="atLeast" w:val="7894"/>
        </w:trPr>
        <w:tc>
          <w:tcPr>
            <w:tcW w:w="2764"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left"/>
              <w:outlineLvl w:val="0"/>
              <w:rPr>
                <w:b w:val="1"/>
                <w:sz w:val="48"/>
              </w:rPr>
            </w:pPr>
            <w:r>
              <w:rPr>
                <w:rFonts w:ascii="Times New Roman" w:hAnsi="Times New Roman" w:cs="Times New Roman" w:eastAsia="Times New Roman"/>
                <w:b w:val="0"/>
                <w:i w:val="0"/>
                <w:color w:val="000000"/>
                <w:sz w:val="24"/>
                <w:szCs w:val="24"/>
              </w:rPr>
              <w:t>КБК 84011601072019000140</w:t>
            </w:r>
          </w:p>
          <w:p>
            <w:pPr>
              <w:spacing w:before="0" w:after="0" w:beforeAutospacing="0" w:afterAutospacing="0"/>
              <w:ind w:firstLine="0" w:left="0" w:right="0"/>
              <w:jc w:val="left"/>
              <w:outlineLvl w:val="0"/>
              <w:rPr>
                <w:b w:val="1"/>
                <w:sz w:val="48"/>
              </w:rPr>
            </w:pPr>
            <w:r>
              <w:rPr>
                <w:rFonts w:ascii="Times New Roman" w:hAnsi="Times New Roman" w:cs="Times New Roman" w:eastAsia="Times New Roman"/>
                <w:b w:val="0"/>
                <w:i w:val="0"/>
                <w:color w:val="000000"/>
                <w:sz w:val="24"/>
                <w:szCs w:val="24"/>
              </w:rPr>
              <w:t>(ст. 7.23 КоАП РФ Нарушение нормативов обеспечения населения коммунальными услугами)</w:t>
            </w:r>
          </w:p>
          <w:p>
            <w:pPr>
              <w:spacing w:before="0" w:after="0" w:beforeAutospacing="0" w:afterAutospacing="0"/>
              <w:ind w:firstLine="0" w:left="0" w:right="0"/>
              <w:jc w:val="both"/>
            </w:pPr>
            <w:r>
              <w:rPr>
                <w:rFonts w:ascii="Times New Roman" w:hAnsi="Times New Roman" w:cs="Times New Roman" w:eastAsia="Times New Roman"/>
                <w:b w:val="0"/>
                <w:i w:val="0"/>
                <w:color w:val="000000"/>
                <w:sz w:val="28"/>
                <w:szCs w:val="28"/>
              </w:rPr>
              <w:t> </w:t>
            </w:r>
          </w:p>
        </w:tc>
        <w:tc>
          <w:tcPr>
            <w:tcW w:w="1708"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0"/>
                <w:i w:val="0"/>
                <w:color w:val="000000"/>
                <w:sz w:val="24"/>
                <w:szCs w:val="24"/>
              </w:rPr>
              <w:t>14</w:t>
            </w:r>
          </w:p>
        </w:tc>
        <w:tc>
          <w:tcPr>
            <w:tcW w:w="1501"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0"/>
                <w:i w:val="0"/>
                <w:color w:val="000000"/>
                <w:sz w:val="24"/>
                <w:szCs w:val="24"/>
              </w:rPr>
              <w:t>184 555,49</w:t>
            </w:r>
          </w:p>
        </w:tc>
        <w:tc>
          <w:tcPr>
            <w:tcW w:w="2573" w:type="dxa"/>
            <w:vMerge w:val="continue"/>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ind w:left="0" w:right="0"/>
              <w:rPr>
                <w:sz w:val="24"/>
              </w:rPr>
            </w:pPr>
          </w:p>
        </w:tc>
        <w:tc>
          <w:tcPr>
            <w:tcW w:w="5464"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w:t>
            </w:r>
            <w:r>
              <w:rPr>
                <w:rFonts w:ascii="Times New Roman" w:hAnsi="Times New Roman" w:cs="Times New Roman" w:eastAsia="Times New Roman"/>
                <w:b w:val="0"/>
                <w:i w:val="0"/>
                <w:color w:val="FF0000"/>
                <w:sz w:val="24"/>
                <w:szCs w:val="24"/>
              </w:rPr>
              <w:t xml:space="preserve"> </w:t>
            </w:r>
            <w:r>
              <w:rPr>
                <w:rFonts w:ascii="Times New Roman" w:hAnsi="Times New Roman" w:cs="Times New Roman" w:eastAsia="Times New Roman"/>
                <w:b w:val="0"/>
                <w:i w:val="0"/>
                <w:color w:val="000000"/>
                <w:sz w:val="24"/>
                <w:szCs w:val="24"/>
              </w:rPr>
              <w:t>составлены протоколы по ст. 20.25 КоАП РФ и  направлены судебным приставам;</w:t>
            </w:r>
          </w:p>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 Министерством проводится работа по контролю за ходом исполнительных производств, направляются запросы в отделы УФССП по Пензенской области;</w:t>
            </w:r>
          </w:p>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 по обращениям Министерства в рамках исполнительных производств обновлены запросы в регистрирующие органы и кредитные организации;  </w:t>
            </w:r>
          </w:p>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 xml:space="preserve">- одному должнику вынесено постановление о временном  ограничении на выезд из РФ, </w:t>
            </w:r>
          </w:p>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 xml:space="preserve"> - сформировано сводное исполнительное производство; </w:t>
            </w:r>
          </w:p>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 службой судебных приставов проводится работа по взысканию задолженности в соответствии с законом об исполнительном производстве № 229-ФЗ от 02.10.2007г. (по направленным Министерством протоколам);</w:t>
            </w:r>
          </w:p>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 в 2024 году взысканы просроченные штрафы на сумму 0,6 тыс. руб. (за 2022-2023 годы);</w:t>
            </w:r>
          </w:p>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 увеличение просроченной дебиторской задолженности в 2024 году по вновь вынесенным постановлениям на сумму 7,2 тыс.руб.</w:t>
            </w:r>
          </w:p>
        </w:tc>
      </w:tr>
      <w:tr>
        <w:tc>
          <w:tcPr>
            <w:tcW w:w="2764"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left"/>
              <w:outlineLvl w:val="0"/>
              <w:rPr>
                <w:b w:val="1"/>
                <w:sz w:val="48"/>
              </w:rPr>
            </w:pPr>
            <w:r>
              <w:rPr>
                <w:rFonts w:ascii="Times New Roman" w:hAnsi="Times New Roman" w:cs="Times New Roman" w:eastAsia="Times New Roman"/>
                <w:b w:val="0"/>
                <w:i w:val="0"/>
                <w:color w:val="000000"/>
                <w:sz w:val="24"/>
                <w:szCs w:val="24"/>
              </w:rPr>
              <w:t>КБК 84011601092019000140</w:t>
            </w:r>
          </w:p>
          <w:p>
            <w:pPr>
              <w:spacing w:before="0" w:after="0" w:beforeAutospacing="0" w:afterAutospacing="0"/>
              <w:ind w:firstLine="0" w:left="0" w:right="0"/>
              <w:jc w:val="left"/>
              <w:outlineLvl w:val="0"/>
              <w:rPr>
                <w:b w:val="1"/>
                <w:sz w:val="48"/>
              </w:rPr>
            </w:pPr>
            <w:r>
              <w:rPr>
                <w:rFonts w:ascii="Times New Roman" w:hAnsi="Times New Roman" w:cs="Times New Roman" w:eastAsia="Times New Roman"/>
                <w:b w:val="0"/>
                <w:i w:val="0"/>
                <w:color w:val="000000"/>
                <w:sz w:val="24"/>
                <w:szCs w:val="24"/>
              </w:rPr>
              <w:t>(ст. 9.23. Нарушение правил обеспечения безопасного использования и содержания внутридомового и внутриквартирного газового оборудования)</w:t>
            </w:r>
          </w:p>
          <w:p>
            <w:pPr>
              <w:spacing w:before="0" w:after="0" w:beforeAutospacing="0" w:afterAutospacing="0"/>
              <w:ind w:firstLine="0" w:left="0" w:right="0"/>
              <w:jc w:val="both"/>
            </w:pPr>
            <w:r>
              <w:rPr>
                <w:rFonts w:ascii="Times New Roman" w:hAnsi="Times New Roman" w:cs="Times New Roman" w:eastAsia="Times New Roman"/>
                <w:b w:val="0"/>
                <w:i w:val="0"/>
                <w:color w:val="000000"/>
                <w:sz w:val="28"/>
                <w:szCs w:val="28"/>
              </w:rPr>
              <w:t> </w:t>
            </w:r>
          </w:p>
        </w:tc>
        <w:tc>
          <w:tcPr>
            <w:tcW w:w="1708"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0"/>
                <w:i w:val="0"/>
                <w:color w:val="000000"/>
                <w:sz w:val="24"/>
                <w:szCs w:val="24"/>
              </w:rPr>
              <w:t>22</w:t>
            </w:r>
          </w:p>
        </w:tc>
        <w:tc>
          <w:tcPr>
            <w:tcW w:w="1501"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0"/>
                <w:i w:val="0"/>
                <w:color w:val="000000"/>
                <w:sz w:val="24"/>
                <w:szCs w:val="24"/>
              </w:rPr>
              <w:t>22 000,00</w:t>
            </w:r>
          </w:p>
        </w:tc>
        <w:tc>
          <w:tcPr>
            <w:tcW w:w="2573" w:type="dxa"/>
            <w:vMerge w:val="continue"/>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ind w:left="0" w:right="0"/>
            </w:pPr>
          </w:p>
        </w:tc>
        <w:tc>
          <w:tcPr>
            <w:tcW w:w="5464"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 по обращениям Министерства в рамках исполнительных производств обновлены запросы в регистрирующие органы и кредитные организации;  </w:t>
            </w:r>
          </w:p>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 службой судебных приставов проводится работа по взысканию задолженности в соответствии с законом об исполнительном производстве № 229-ФЗ от 02.10.2007г. (по направленным Министерством протоколам);</w:t>
            </w:r>
          </w:p>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 в 2024 году взысканы  просроченные штрафы на сумму 3,0 тыс. руб. (за 2021-2022 годы)</w:t>
            </w:r>
          </w:p>
        </w:tc>
      </w:tr>
      <w:tr>
        <w:tc>
          <w:tcPr>
            <w:tcW w:w="2764"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КБК 84011601142019002140</w:t>
            </w:r>
          </w:p>
          <w:p>
            <w:pPr>
              <w:spacing w:before="0" w:after="0" w:beforeAutospacing="0" w:afterAutospacing="0"/>
              <w:ind w:firstLine="0" w:left="0" w:right="0"/>
              <w:jc w:val="both"/>
            </w:pPr>
            <w:r>
              <w:rPr>
                <w:rFonts w:ascii="Times New Roman" w:hAnsi="Times New Roman" w:cs="Times New Roman" w:eastAsia="Times New Roman"/>
                <w:b w:val="0"/>
                <w:i w:val="0"/>
                <w:color w:val="000000"/>
                <w:sz w:val="24"/>
                <w:szCs w:val="24"/>
              </w:rPr>
              <w:t>(ст. 14.1.3 КоАП РФ Осуществление предпринимательской деятельности по управлению многоквартирными домами без лицензии)</w:t>
            </w:r>
          </w:p>
        </w:tc>
        <w:tc>
          <w:tcPr>
            <w:tcW w:w="1708"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0"/>
                <w:i w:val="0"/>
                <w:color w:val="000000"/>
                <w:sz w:val="24"/>
                <w:szCs w:val="24"/>
              </w:rPr>
              <w:t>26</w:t>
            </w:r>
          </w:p>
        </w:tc>
        <w:tc>
          <w:tcPr>
            <w:tcW w:w="1501"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0"/>
                <w:i w:val="0"/>
                <w:color w:val="000000"/>
                <w:sz w:val="24"/>
                <w:szCs w:val="24"/>
              </w:rPr>
              <w:t>5 145 564,80</w:t>
            </w:r>
          </w:p>
          <w:p>
            <w:pPr>
              <w:spacing w:before="0" w:after="0" w:beforeAutospacing="0" w:afterAutospacing="0"/>
              <w:ind w:firstLine="0" w:left="0" w:right="0"/>
              <w:jc w:val="both"/>
            </w:pPr>
            <w:r>
              <w:rPr>
                <w:rFonts w:ascii="Times New Roman" w:hAnsi="Times New Roman" w:cs="Times New Roman" w:eastAsia="Times New Roman"/>
                <w:b w:val="0"/>
                <w:i w:val="0"/>
                <w:color w:val="FF0000"/>
                <w:sz w:val="24"/>
                <w:szCs w:val="24"/>
              </w:rPr>
              <w:t> </w:t>
            </w:r>
          </w:p>
        </w:tc>
        <w:tc>
          <w:tcPr>
            <w:tcW w:w="2573" w:type="dxa"/>
            <w:vMerge w:val="continue"/>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ind w:left="0" w:right="0"/>
            </w:pPr>
          </w:p>
        </w:tc>
        <w:tc>
          <w:tcPr>
            <w:tcW w:w="5464"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w:t>
            </w:r>
            <w:r>
              <w:rPr>
                <w:rFonts w:ascii="Times New Roman" w:hAnsi="Times New Roman" w:cs="Times New Roman" w:eastAsia="Times New Roman"/>
                <w:b w:val="0"/>
                <w:i w:val="0"/>
                <w:color w:val="FF0000"/>
                <w:sz w:val="24"/>
                <w:szCs w:val="24"/>
              </w:rPr>
              <w:t xml:space="preserve"> </w:t>
            </w:r>
            <w:r>
              <w:rPr>
                <w:rFonts w:ascii="Times New Roman" w:hAnsi="Times New Roman" w:cs="Times New Roman" w:eastAsia="Times New Roman"/>
                <w:b w:val="0"/>
                <w:i w:val="0"/>
                <w:color w:val="000000"/>
                <w:sz w:val="24"/>
                <w:szCs w:val="24"/>
              </w:rPr>
              <w:t>составлены протоколы по ст. 20.25 КоАП РФ и  направлены судебным приставам;</w:t>
            </w:r>
          </w:p>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 Министерством проводится работа по контролю за ходом исполнительных производств, направляются запросы в отделы УФССП по Пензенской области;</w:t>
            </w:r>
          </w:p>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 вынесенные Министерством постановления обжалуются в судах;</w:t>
            </w:r>
          </w:p>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 по обращениям Министерства в рамках исполнительных производств обновлены запросы в регистрирующие органы и кредитные организации;  </w:t>
            </w:r>
          </w:p>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 xml:space="preserve">- двум должникам вынесены постановления о временном  ограничении на выезд из РФ; </w:t>
            </w:r>
          </w:p>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 сформированы сводные исполнительные производства;</w:t>
            </w:r>
          </w:p>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 одно сводное исполнительное производство по должнику приостановлено, в связи с участием его в СВО;</w:t>
            </w:r>
          </w:p>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 службой судебных приставов проводится работа по взысканию задолженности в соответствии с законом об исполнительном производстве № 229-ФЗ от 02.10.2007г. (по направленным Министерством протоколам);</w:t>
            </w:r>
          </w:p>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 в 2024 году взысканы  просроченные штрафы на сумму 87,4 тыс. руб.(за 2022 год), 213,3 тыс. руб. (за 2023 год);</w:t>
            </w:r>
          </w:p>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 увеличение просроченной дебиторской задолженности в 2024 году по вновь вынесенным постановлениям на сумму 1 297,8 тыс.руб. (387,5 тыс.руб. по постановлениям 2023 года, 910,3 тыс.руб. - по постановлениям 2024 года);</w:t>
            </w:r>
          </w:p>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 дебиторская задолженность в сумме 250,0 тыс.руб. признана сомнительной, списана с баланса Министерства, отражена на забалансовом счете 04.</w:t>
            </w:r>
          </w:p>
        </w:tc>
      </w:tr>
      <w:tr>
        <w:tc>
          <w:tcPr>
            <w:tcW w:w="2764"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left"/>
              <w:outlineLvl w:val="0"/>
              <w:rPr>
                <w:b w:val="1"/>
                <w:sz w:val="48"/>
              </w:rPr>
            </w:pPr>
            <w:r>
              <w:rPr>
                <w:rFonts w:ascii="Times New Roman" w:hAnsi="Times New Roman" w:cs="Times New Roman" w:eastAsia="Times New Roman"/>
                <w:b w:val="0"/>
                <w:i w:val="0"/>
                <w:color w:val="000000"/>
                <w:sz w:val="24"/>
                <w:szCs w:val="24"/>
              </w:rPr>
              <w:t>КБК 84011601192010005140</w:t>
            </w:r>
          </w:p>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(ст. 19.7.1 КоАП РФ Непредставление сведений или представление заведомо недостоверных сведений в орган, осуществляющий государственный контроль (надзор) в области регулируемых государством цен (тарифов)</w:t>
            </w:r>
          </w:p>
        </w:tc>
        <w:tc>
          <w:tcPr>
            <w:tcW w:w="1708"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0"/>
                <w:i w:val="0"/>
                <w:color w:val="000000"/>
                <w:sz w:val="24"/>
                <w:szCs w:val="24"/>
              </w:rPr>
              <w:t>1</w:t>
            </w:r>
          </w:p>
        </w:tc>
        <w:tc>
          <w:tcPr>
            <w:tcW w:w="1501"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0"/>
                <w:i w:val="0"/>
                <w:color w:val="000000"/>
                <w:sz w:val="24"/>
                <w:szCs w:val="24"/>
              </w:rPr>
              <w:t>30 170,41</w:t>
            </w:r>
          </w:p>
        </w:tc>
        <w:tc>
          <w:tcPr>
            <w:tcW w:w="2573" w:type="dxa"/>
            <w:vMerge w:val="continue"/>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ind w:left="0" w:right="0"/>
            </w:pPr>
          </w:p>
        </w:tc>
        <w:tc>
          <w:tcPr>
            <w:tcW w:w="5464"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 службой судебных приставов проводится работа по взысканию задолженности в соответствии с законом об исполнительном производстве № 229-ФЗ от 02.10.2007г. (по направленным Министерством протоколам);</w:t>
            </w:r>
          </w:p>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 в 2024 году взысканы  </w:t>
            </w:r>
          </w:p>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просроченные штрафы на сумму 63,12 руб.</w:t>
            </w:r>
          </w:p>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 </w:t>
            </w:r>
          </w:p>
        </w:tc>
      </w:tr>
      <w:tr>
        <w:tc>
          <w:tcPr>
            <w:tcW w:w="2764"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left"/>
              <w:outlineLvl w:val="0"/>
              <w:rPr>
                <w:b w:val="1"/>
                <w:sz w:val="48"/>
              </w:rPr>
            </w:pPr>
            <w:r>
              <w:rPr>
                <w:rFonts w:ascii="Times New Roman" w:hAnsi="Times New Roman" w:cs="Times New Roman" w:eastAsia="Times New Roman"/>
                <w:b w:val="0"/>
                <w:i w:val="0"/>
                <w:color w:val="FF0000"/>
                <w:sz w:val="28"/>
                <w:szCs w:val="28"/>
              </w:rPr>
              <w:t> </w:t>
            </w:r>
            <w:r>
              <w:rPr>
                <w:rFonts w:ascii="Times New Roman" w:hAnsi="Times New Roman" w:cs="Times New Roman" w:eastAsia="Times New Roman"/>
                <w:b w:val="0"/>
                <w:i w:val="0"/>
                <w:color w:val="000000"/>
                <w:sz w:val="24"/>
                <w:szCs w:val="24"/>
              </w:rPr>
              <w:t>КБК 84002010020000140</w:t>
            </w:r>
          </w:p>
          <w:p>
            <w:pPr>
              <w:spacing w:before="0" w:after="0" w:beforeAutospacing="0" w:afterAutospacing="0"/>
              <w:ind w:firstLine="0" w:left="0" w:right="0"/>
              <w:jc w:val="left"/>
              <w:outlineLvl w:val="0"/>
              <w:rPr>
                <w:b w:val="1"/>
                <w:sz w:val="48"/>
              </w:rPr>
            </w:pPr>
            <w:r>
              <w:rPr>
                <w:rFonts w:ascii="Times New Roman" w:hAnsi="Times New Roman" w:cs="Times New Roman" w:eastAsia="Times New Roman"/>
                <w:b w:val="0"/>
                <w:i w:val="0"/>
                <w:color w:val="000000"/>
                <w:sz w:val="24"/>
                <w:szCs w:val="24"/>
              </w:rPr>
              <w:t>(ст. 5.1.1 Кодекса Пензенской области об административных правонарушениях.</w:t>
            </w:r>
          </w:p>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Торговля в неустановленных местах)</w:t>
            </w:r>
          </w:p>
        </w:tc>
        <w:tc>
          <w:tcPr>
            <w:tcW w:w="1708"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0"/>
                <w:i w:val="0"/>
                <w:color w:val="000000"/>
                <w:sz w:val="24"/>
                <w:szCs w:val="24"/>
              </w:rPr>
              <w:t>185</w:t>
            </w:r>
          </w:p>
        </w:tc>
        <w:tc>
          <w:tcPr>
            <w:tcW w:w="1501"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0"/>
                <w:i w:val="0"/>
                <w:color w:val="000000"/>
                <w:sz w:val="24"/>
                <w:szCs w:val="24"/>
              </w:rPr>
              <w:t>848 321,88</w:t>
            </w:r>
          </w:p>
        </w:tc>
        <w:tc>
          <w:tcPr>
            <w:tcW w:w="2573"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Не оплата в срок по вынесенным постановлениям административных комиссий районов г. Пензы  </w:t>
            </w:r>
          </w:p>
        </w:tc>
        <w:tc>
          <w:tcPr>
            <w:tcW w:w="5464"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left"/>
            </w:pPr>
            <w:r>
              <w:rPr>
                <w:rFonts w:ascii="Times New Roman" w:hAnsi="Times New Roman" w:cs="Times New Roman" w:eastAsia="Times New Roman"/>
                <w:b w:val="0"/>
                <w:i w:val="0"/>
                <w:color w:val="000000"/>
                <w:sz w:val="24"/>
                <w:szCs w:val="24"/>
              </w:rPr>
              <w:t>Т.к. данные штрафы выносятся по протоколам, составленными административными комиссиями районов г. Пензы, все меры по уменьшению задолженности проводятся административными комиссиями районов.</w:t>
            </w:r>
          </w:p>
          <w:p>
            <w:pPr>
              <w:spacing w:before="0" w:after="0" w:beforeAutospacing="0" w:afterAutospacing="0"/>
              <w:ind w:firstLine="0" w:left="0" w:right="0"/>
              <w:jc w:val="both"/>
            </w:pPr>
            <w:r>
              <w:rPr>
                <w:rFonts w:ascii="Times New Roman" w:hAnsi="Times New Roman" w:cs="Times New Roman" w:eastAsia="Times New Roman"/>
                <w:b w:val="0"/>
                <w:i w:val="0"/>
                <w:color w:val="FF0000"/>
                <w:sz w:val="28"/>
                <w:szCs w:val="28"/>
              </w:rPr>
              <w:t> </w:t>
            </w:r>
          </w:p>
        </w:tc>
      </w:tr>
      <w:tr>
        <w:tc>
          <w:tcPr>
            <w:tcW w:w="2764"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0"/>
                <w:i w:val="0"/>
                <w:color w:val="FF0000"/>
                <w:sz w:val="28"/>
                <w:szCs w:val="28"/>
              </w:rPr>
              <w:t> </w:t>
            </w:r>
          </w:p>
        </w:tc>
        <w:tc>
          <w:tcPr>
            <w:tcW w:w="1708"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0"/>
                <w:i w:val="0"/>
                <w:color w:val="FF0000"/>
                <w:sz w:val="24"/>
                <w:szCs w:val="24"/>
              </w:rPr>
              <w:t> </w:t>
            </w:r>
          </w:p>
        </w:tc>
        <w:tc>
          <w:tcPr>
            <w:tcW w:w="1501"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1"/>
                <w:i w:val="0"/>
                <w:color w:val="000000"/>
                <w:sz w:val="24"/>
                <w:szCs w:val="24"/>
              </w:rPr>
              <w:t>6 791 268,31</w:t>
            </w:r>
          </w:p>
        </w:tc>
        <w:tc>
          <w:tcPr>
            <w:tcW w:w="2573"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0"/>
                <w:i w:val="0"/>
                <w:color w:val="FF0000"/>
                <w:sz w:val="28"/>
                <w:szCs w:val="28"/>
              </w:rPr>
              <w:t> </w:t>
            </w:r>
          </w:p>
        </w:tc>
        <w:tc>
          <w:tcPr>
            <w:tcW w:w="5464" w:type="dxa"/>
            <w:tcBorders>
              <w:top w:val="single" w:sz="8" w:space="0" w:shadow="0" w:frame="0" w:color="000000"/>
              <w:left w:val="single" w:sz="8" w:space="0" w:shadow="0" w:frame="0" w:color="000000"/>
              <w:bottom w:val="single" w:sz="8" w:space="0" w:shadow="0" w:frame="0" w:color="000000"/>
              <w:right w:val="single" w:sz="8" w:space="0" w:shadow="0" w:frame="0" w:color="000000"/>
            </w:tcBorders>
            <w:tcMar>
              <w:top w:w="0" w:type="dxa"/>
              <w:left w:w="108" w:type="dxa"/>
              <w:bottom w:w="0" w:type="dxa"/>
              <w:right w:w="108" w:type="dxa"/>
            </w:tcMar>
            <w:vAlign w:val="top"/>
            <w:hideMark/>
          </w:tcPr>
          <w:p>
            <w:pPr>
              <w:spacing w:before="0" w:after="0" w:beforeAutospacing="0" w:afterAutospacing="0"/>
              <w:ind w:firstLine="0" w:left="0" w:right="0"/>
              <w:jc w:val="both"/>
            </w:pPr>
            <w:r>
              <w:rPr>
                <w:rFonts w:ascii="Times New Roman" w:hAnsi="Times New Roman" w:cs="Times New Roman" w:eastAsia="Times New Roman"/>
                <w:b w:val="0"/>
                <w:i w:val="0"/>
                <w:color w:val="FF0000"/>
                <w:sz w:val="28"/>
                <w:szCs w:val="28"/>
              </w:rPr>
              <w:t> </w:t>
            </w:r>
          </w:p>
        </w:tc>
      </w:tr>
    </w:tbl>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4"/>
          <w:szCs w:val="24"/>
        </w:rPr>
        <w:t> </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8"/>
          <w:szCs w:val="28"/>
        </w:rPr>
        <w:t> - по статье 211: дебиторская задолженность уволенного сотрудника за использованный отпуск составила 46 444,58 руб.;</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8"/>
          <w:szCs w:val="28"/>
        </w:rPr>
        <w:t>- по статье 212: 15 000,00 руб.;</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8"/>
          <w:szCs w:val="28"/>
        </w:rPr>
        <w:t>- по статье 221: дебиторская задолженность подотчетного лица по выданным конвертам, почтовым маркам составила 89 410,00 руб.;</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8"/>
          <w:szCs w:val="28"/>
        </w:rPr>
        <w:t>- по статье 241: субсидия на выполнение гос.задания ГУ "ППСЦ" составила 170 689 317,60 руб.;</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8"/>
          <w:szCs w:val="28"/>
        </w:rPr>
        <w:t>- по статье 246: имущественный взнос Пензенской области в «Региональный фонд капитального ремонта многоквартирных домов Пензенской области» составила 2 300 014,66 руб.;</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8"/>
          <w:szCs w:val="28"/>
        </w:rPr>
        <w:t>- по статье 251: Дебиторская задолженность по расчетам между бюджетами по субвенциям, субсидиям и иным межбюджетным трансфертам на 01.10.2024г. текущего характера в сумме 2 522 689,31  руб., из них:</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8"/>
          <w:szCs w:val="28"/>
        </w:rPr>
        <w:t>- 2,56 руб. - субвенции на исполнение государственных полномочий в сфере административных правоотношений;</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8"/>
          <w:szCs w:val="28"/>
        </w:rPr>
        <w:t>- 2 522 686,75 - оплата ремонтно-восстановительных работ из резервного фонда Правительства Пензенской области;</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8"/>
          <w:szCs w:val="28"/>
        </w:rPr>
        <w:t>- по статье 226: 59 190,00 руб.;</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4"/>
          <w:szCs w:val="24"/>
        </w:rPr>
        <w:t> </w:t>
      </w:r>
      <w:r>
        <w:rPr>
          <w:rFonts w:ascii="Times New Roman" w:hAnsi="Times New Roman" w:cs="Times New Roman" w:eastAsia="Times New Roman"/>
          <w:b w:val="0"/>
          <w:i w:val="0"/>
          <w:color w:val="000000"/>
          <w:sz w:val="28"/>
          <w:szCs w:val="28"/>
        </w:rPr>
        <w:t>- по статье 291: дебиторская задолженность по налогу на имущество 37,00 руб.</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4"/>
          <w:szCs w:val="24"/>
        </w:rPr>
        <w:t> </w:t>
      </w:r>
    </w:p>
    <w:p>
      <w:pPr>
        <w:spacing w:before="0" w:after="0" w:beforeAutospacing="0" w:afterAutospacing="0"/>
        <w:ind w:firstLine="720" w:left="0" w:right="0"/>
        <w:jc w:val="both"/>
        <w:outlineLvl w:val="9"/>
      </w:pPr>
      <w:r>
        <w:rPr>
          <w:rFonts w:ascii="Times New Roman" w:hAnsi="Times New Roman" w:cs="Times New Roman" w:eastAsia="Times New Roman"/>
          <w:b w:val="0"/>
          <w:i w:val="0"/>
          <w:color w:val="000000"/>
          <w:sz w:val="28"/>
          <w:szCs w:val="28"/>
        </w:rPr>
        <w:t>Кредиторская задолженность на 01.10.2024г. сложилась в сумме 3 758 047,54 руб., в т.ч.:</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8"/>
          <w:szCs w:val="28"/>
        </w:rPr>
        <w:t>- по статье 211 в сумме 2 277 786,51 руб. - расчеты по заработной плате, НДФЛ; </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8"/>
          <w:szCs w:val="28"/>
        </w:rPr>
        <w:t>- по статье 213 в сумме 1 460 906,53 руб. - начисления на выплаты по оплате труда;</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8"/>
          <w:szCs w:val="28"/>
        </w:rPr>
        <w:t>- по статье 226 в сумме 13 520,00 руб. - оплата услуг по сопровождению СПС "Консультант";</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8"/>
          <w:szCs w:val="28"/>
        </w:rPr>
        <w:t>- по статье 266 в сумме 5 843,50 руб. расходы по выплате социальных пособий и компенсаций работникам.</w:t>
      </w:r>
      <w:r>
        <w:rPr>
          <w:rFonts w:ascii="Times New Roman" w:hAnsi="Times New Roman" w:cs="Times New Roman" w:eastAsia="Times New Roman"/>
          <w:b w:val="0"/>
          <w:i w:val="0"/>
          <w:color w:val="000000"/>
          <w:sz w:val="24"/>
          <w:szCs w:val="24"/>
        </w:rPr>
        <w:t> </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4"/>
          <w:szCs w:val="24"/>
        </w:rPr>
        <w:t xml:space="preserve">  </w:t>
      </w:r>
    </w:p>
    <w:p>
      <w:pPr>
        <w:spacing w:before="0" w:after="0" w:beforeAutospacing="0" w:afterAutospacing="0"/>
        <w:ind w:firstLine="540" w:left="0" w:right="0"/>
        <w:jc w:val="center"/>
        <w:outlineLvl w:val="9"/>
      </w:pPr>
      <w:r>
        <w:rPr>
          <w:rFonts w:ascii="Times New Roman" w:hAnsi="Times New Roman" w:cs="Times New Roman" w:eastAsia="Times New Roman"/>
          <w:b w:val="1"/>
          <w:i w:val="0"/>
          <w:color w:val="000000"/>
          <w:sz w:val="28"/>
          <w:szCs w:val="28"/>
        </w:rPr>
        <w:t>5. Прочие вопросы деятельности субъекта бюджетной отчетности</w:t>
      </w:r>
    </w:p>
    <w:p>
      <w:pPr>
        <w:spacing w:before="0" w:after="0" w:beforeAutospacing="0" w:afterAutospacing="0"/>
        <w:ind w:firstLine="0" w:left="0" w:right="0"/>
        <w:jc w:val="center"/>
        <w:outlineLvl w:val="9"/>
      </w:pPr>
      <w:r>
        <w:rPr>
          <w:rFonts w:ascii="Times New Roman" w:hAnsi="Times New Roman" w:cs="Times New Roman" w:eastAsia="Times New Roman"/>
          <w:b w:val="1"/>
          <w:i w:val="0"/>
          <w:color w:val="000000"/>
          <w:sz w:val="28"/>
          <w:szCs w:val="28"/>
        </w:rPr>
        <w:t> </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Бухгалтерский учет ведется в соответствии с федеральным законом от 06.12.2011 №402-ФЗ «О бухгалтерском учете» (с последующими изменениями), нормативными документами Министерства финансов Российской Федерации по учету исполнения бюджета, приказами Минфина РФ от 01.12.2010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(с последующими изменениями),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от 28.12.2010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(с последующими изменениями), учетной политикой, федеральными стандартами бухгалтерского учета для организаций государственного сектора, утвержденными приказами Минфина России от 31 декабря 2016 № 256н, № 257н, № 258н, № 259н, № 260н, № 278н, № 274н, № 275н, от 30.12.2017 № 277н, от 27.02.2018 № 32н, от 28.02.2018 № 34н, № 37н, от 30.05.2018 № 124н, от 29.06.2018 № 145н, № 146н, от 07.12.2018 № 256н, от 15.11.2019 № 181н, № 184н, от 29.09.2020 № 223н, от 30.10.2020 № 255н (далее – соответственно Стандарт «Концептуальные основы бухучета и отчетности», Стандарт «Основные средства», Стандарт «Аренда», Стандарт «Обесценение активов», Стандарт «Представление бухгалтерской (финансовой) отчетности», Стандарт «Отчет о движении денежных средств», Стандарт «Учетная политика»,  Стандарт «События после отчетной даты», Стандарт «Информация о связанных сторонах», Стандарт «Доходы», Стандарт  «Бюджетная информация в бухгалтерской (финансовой) отчетности», Стандарт  «Непроизведенные активы», Стандарт «Резервы. Раскрытие информации об условных обязательствах и условных активах», Стандарт «Долгосрочные договоры», Стандарт «Концессионные соглашения», "Стандарт «Запасы», Стандарт «Нематериальные активы», Стандарт «Выплаты персоналу», Стандарт "Сведения о показателях бухгалтерской (финансовой) отчетности по сегментам", Стандарт "Консолидированная бухгалтерская (финансовая) отчетность").</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 xml:space="preserve">Учет в Министерстве осуществляется с применением автоматизированной системы бюджетного учета «Смета». </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В отчетном периоде осуществлялось исправление ошибки прошлого года (прошлых лет), которая отражена в Сведениях об изменении остатков валюты баланса Министерства (</w:t>
      </w:r>
      <w:hyperlink xmlns:r="http://schemas.openxmlformats.org/officeDocument/2006/relationships" r:id="R2">
        <w:r>
          <w:rPr>
            <w:rStyle w:val="C2"/>
            <w:rFonts w:ascii="Times New Roman" w:hAnsi="Times New Roman" w:cs="Times New Roman" w:eastAsia="Times New Roman"/>
            <w:b w:val="0"/>
            <w:i w:val="0"/>
            <w:color w:val="000000"/>
            <w:sz w:val="28"/>
            <w:szCs w:val="28"/>
            <w:u w:val="none"/>
          </w:rPr>
          <w:t>ф. 0503173</w:t>
        </w:r>
      </w:hyperlink>
      <w:r>
        <w:rPr>
          <w:rFonts w:ascii="Times New Roman" w:hAnsi="Times New Roman" w:cs="Times New Roman" w:eastAsia="Times New Roman"/>
          <w:b w:val="0"/>
          <w:i w:val="0"/>
          <w:color w:val="000000"/>
          <w:sz w:val="28"/>
          <w:szCs w:val="28"/>
        </w:rPr>
        <w:t xml:space="preserve">). </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8"/>
          <w:szCs w:val="28"/>
        </w:rPr>
        <w:t>В связи с отсутствием финансовых показателей Министерством в составе отчетности на 01.10.2024 не представлены следующие формы по ОКУД: 0503184 «Справка о суммах консолидируемых поступлений, подлежащих зачислению на счет бюджета»</w:t>
      </w:r>
      <w:r>
        <w:rPr>
          <w:rFonts w:ascii="Calibri" w:hAnsi="Calibri" w:cs="Calibri" w:eastAsia="Calibri"/>
          <w:b w:val="0"/>
          <w:i w:val="0"/>
          <w:color w:val="000000"/>
          <w:sz w:val="28"/>
          <w:szCs w:val="28"/>
        </w:rPr>
        <w:t>.</w:t>
      </w:r>
      <w:r>
        <w:rPr>
          <w:rFonts w:ascii="Calibri" w:hAnsi="Calibri" w:cs="Calibri" w:eastAsia="Calibri"/>
          <w:b w:val="0"/>
          <w:i w:val="0"/>
          <w:color w:val="000000"/>
          <w:sz w:val="22"/>
          <w:szCs w:val="22"/>
        </w:rPr>
        <w:t> </w:t>
      </w:r>
    </w:p>
    <w:p>
      <w:pPr>
        <w:spacing w:before="0" w:after="0" w:beforeAutospacing="0" w:afterAutospacing="0"/>
        <w:ind w:firstLine="540" w:left="0" w:right="0"/>
        <w:jc w:val="both"/>
        <w:outlineLvl w:val="9"/>
      </w:pPr>
      <w:r>
        <w:rPr>
          <w:rFonts w:ascii="Calibri" w:hAnsi="Calibri" w:cs="Calibri" w:eastAsia="Calibri"/>
          <w:b w:val="0"/>
          <w:i w:val="0"/>
          <w:color w:val="000000"/>
          <w:sz w:val="22"/>
          <w:szCs w:val="22"/>
        </w:rPr>
        <w:t> </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8"/>
          <w:szCs w:val="28"/>
        </w:rPr>
        <w:t> </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8"/>
          <w:szCs w:val="28"/>
        </w:rPr>
        <w:t> </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8"/>
          <w:szCs w:val="28"/>
        </w:rPr>
        <w:t> </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8"/>
          <w:szCs w:val="28"/>
        </w:rPr>
        <w:t> </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8"/>
          <w:szCs w:val="28"/>
        </w:rPr>
        <w:t> </w:t>
      </w:r>
    </w:p>
    <w:p>
      <w:pPr>
        <w:spacing w:before="0" w:after="0" w:beforeAutospacing="0" w:afterAutospacing="0"/>
        <w:ind w:firstLine="0" w:left="0" w:right="0"/>
        <w:jc w:val="left"/>
        <w:outlineLvl w:val="9"/>
      </w:pPr>
      <w:r>
        <w:rPr>
          <w:rFonts w:ascii="Times New Roman" w:hAnsi="Times New Roman" w:cs="Times New Roman" w:eastAsia="Times New Roman"/>
          <w:b w:val="0"/>
          <w:i w:val="0"/>
          <w:color w:val="000000"/>
          <w:sz w:val="24"/>
          <w:szCs w:val="24"/>
        </w:rPr>
        <w:t> </w:t>
      </w:r>
    </w:p>
    <w:p>
      <w:pPr>
        <w:spacing w:before="0" w:after="0" w:beforeAutospacing="0" w:afterAutospacing="0"/>
        <w:ind w:firstLine="0" w:left="0" w:right="0"/>
        <w:jc w:val="left"/>
        <w:outlineLvl w:val="9"/>
      </w:pPr>
      <w:r>
        <w:rPr>
          <w:rFonts w:ascii="Times New Roman" w:hAnsi="Times New Roman" w:cs="Times New Roman" w:eastAsia="Times New Roman"/>
          <w:b w:val="0"/>
          <w:i w:val="0"/>
          <w:color w:val="000000"/>
          <w:sz w:val="24"/>
          <w:szCs w:val="24"/>
        </w:rPr>
        <w:t> </w:t>
      </w:r>
    </w:p>
    <w:p>
      <w:pPr>
        <w:spacing w:before="0" w:after="0" w:beforeAutospacing="0" w:afterAutospacing="0"/>
        <w:ind w:firstLine="0" w:left="0" w:right="0"/>
        <w:jc w:val="left"/>
        <w:outlineLvl w:val="9"/>
      </w:pPr>
      <w:r>
        <w:rPr>
          <w:rFonts w:ascii="Times New Roman" w:hAnsi="Times New Roman" w:cs="Times New Roman" w:eastAsia="Times New Roman"/>
          <w:b w:val="0"/>
          <w:i w:val="0"/>
          <w:color w:val="000000"/>
          <w:sz w:val="24"/>
          <w:szCs w:val="24"/>
        </w:rPr>
        <w:t> </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4"/>
          <w:szCs w:val="24"/>
        </w:rPr>
        <w:t> </w:t>
      </w:r>
    </w:p>
    <w:p>
      <w:pPr>
        <w:spacing w:before="0" w:after="0" w:beforeAutospacing="0" w:afterAutospacing="0"/>
        <w:ind w:firstLine="0" w:left="0" w:right="0"/>
        <w:jc w:val="left"/>
        <w:outlineLvl w:val="9"/>
      </w:pPr>
      <w:r>
        <w:rPr>
          <w:rFonts w:ascii="Calibri" w:hAnsi="Calibri" w:cs="Calibri" w:eastAsia="Calibri"/>
          <w:b w:val="0"/>
          <w:i w:val="0"/>
          <w:color w:val="000000"/>
          <w:sz w:val="22"/>
          <w:szCs w:val="22"/>
        </w:rPr>
        <w:t> </w:t>
      </w:r>
    </w:p>
    <w:p>
      <w:pPr>
        <w:spacing w:before="0" w:after="0" w:beforeAutospacing="0" w:afterAutospacing="0"/>
        <w:ind w:firstLine="0" w:left="0" w:right="0"/>
        <w:jc w:val="left"/>
        <w:outlineLvl w:val="9"/>
      </w:pPr>
      <w:r>
        <w:rPr>
          <w:rFonts w:ascii="Calibri" w:hAnsi="Calibri" w:cs="Calibri" w:eastAsia="Calibri"/>
          <w:b w:val="0"/>
          <w:i w:val="0"/>
          <w:color w:val="000000"/>
          <w:sz w:val="22"/>
          <w:szCs w:val="22"/>
        </w:rPr>
        <w:t> </w:t>
      </w:r>
    </w:p>
    <w:p>
      <w:pPr>
        <w:spacing w:before="0" w:after="0" w:beforeAutospacing="0" w:afterAutospacing="0"/>
        <w:ind w:firstLine="0" w:left="0" w:right="0"/>
        <w:jc w:val="left"/>
        <w:outlineLvl w:val="9"/>
      </w:pPr>
      <w:r>
        <w:rPr>
          <w:rFonts w:ascii="Times New Roman" w:hAnsi="Times New Roman" w:cs="Times New Roman" w:eastAsia="Times New Roman"/>
          <w:b w:val="0"/>
          <w:i w:val="0"/>
          <w:color w:val="000000"/>
          <w:sz w:val="24"/>
          <w:szCs w:val="24"/>
        </w:rPr>
        <w:t> </w:t>
      </w:r>
    </w:p>
    <w:p>
      <w:pPr>
        <w:spacing w:before="0" w:after="0" w:beforeAutospacing="0" w:afterAutospacing="0"/>
        <w:ind w:firstLine="0" w:left="0" w:right="0"/>
        <w:jc w:val="left"/>
        <w:outlineLvl w:val="9"/>
      </w:pPr>
      <w:r>
        <w:rPr>
          <w:rFonts w:ascii="Times New Roman" w:hAnsi="Times New Roman" w:cs="Times New Roman" w:eastAsia="Times New Roman"/>
          <w:b w:val="0"/>
          <w:i w:val="0"/>
          <w:color w:val="000000"/>
          <w:sz w:val="24"/>
          <w:szCs w:val="24"/>
        </w:rPr>
        <w:t> </w:t>
      </w:r>
    </w:p>
    <w:p>
      <w:pPr>
        <w:spacing w:before="0" w:after="0" w:beforeAutospacing="0" w:afterAutospacing="0"/>
        <w:ind w:firstLine="0" w:left="0" w:right="0"/>
        <w:jc w:val="both"/>
        <w:outlineLvl w:val="9"/>
      </w:pPr>
      <w:r>
        <w:rPr>
          <w:rFonts w:ascii="Times New Roman" w:hAnsi="Times New Roman" w:cs="Times New Roman" w:eastAsia="Times New Roman"/>
          <w:b w:val="0"/>
          <w:i w:val="0"/>
          <w:color w:val="000000"/>
          <w:sz w:val="24"/>
          <w:szCs w:val="24"/>
        </w:rPr>
        <w:t> </w:t>
      </w:r>
    </w:p>
    <w:p>
      <w:pPr>
        <w:spacing w:before="0" w:after="0" w:beforeAutospacing="0" w:afterAutospacing="0"/>
        <w:ind w:firstLine="540" w:left="0" w:right="0"/>
        <w:jc w:val="both"/>
        <w:outlineLvl w:val="9"/>
      </w:pPr>
      <w:r>
        <w:rPr>
          <w:rFonts w:ascii="Times New Roman" w:hAnsi="Times New Roman" w:cs="Times New Roman" w:eastAsia="Times New Roman"/>
          <w:b w:val="0"/>
          <w:i w:val="0"/>
          <w:color w:val="000000"/>
          <w:sz w:val="24"/>
          <w:szCs w:val="24"/>
        </w:rPr>
        <w:t> </w:t>
      </w:r>
    </w:p>
    <w:p>
      <w:pPr>
        <w:spacing w:before="0" w:after="0" w:beforeAutospacing="0" w:afterAutospacing="0"/>
        <w:ind w:firstLine="0" w:left="0" w:right="0"/>
        <w:jc w:val="left"/>
        <w:outlineLvl w:val="9"/>
      </w:pPr>
      <w:r>
        <w:rPr>
          <w:rFonts w:ascii="Calibri" w:hAnsi="Calibri" w:cs="Calibri" w:eastAsia="Calibri"/>
          <w:b w:val="0"/>
          <w:i w:val="0"/>
          <w:color w:val="000000"/>
          <w:sz w:val="22"/>
          <w:szCs w:val="22"/>
        </w:rPr>
        <w:t> </w:t>
      </w:r>
    </w:p>
    <w:p>
      <w:pPr>
        <w:spacing w:before="0" w:after="0" w:beforeAutospacing="0" w:afterAutospacing="0"/>
        <w:ind w:firstLine="0" w:left="0" w:right="0"/>
        <w:jc w:val="left"/>
        <w:outlineLvl w:val="9"/>
      </w:pPr>
      <w:r>
        <w:rPr>
          <w:rFonts w:ascii="Calibri" w:hAnsi="Calibri" w:cs="Calibri" w:eastAsia="Calibri"/>
          <w:b w:val="0"/>
          <w:i w:val="0"/>
          <w:color w:val="000000"/>
          <w:sz w:val="22"/>
          <w:szCs w:val="22"/>
        </w:rPr>
        <w:t> </w:t>
      </w:r>
    </w:p>
    <w:p>
      <w:pPr>
        <w:spacing w:before="0" w:after="0" w:beforeAutospacing="0" w:afterAutospacing="0"/>
        <w:ind w:firstLine="0" w:left="0" w:right="0"/>
        <w:jc w:val="left"/>
        <w:outlineLvl w:val="9"/>
      </w:pPr>
      <w:r>
        <w:rPr>
          <w:rFonts w:ascii="Times New Roman" w:hAnsi="Times New Roman" w:cs="Times New Roman" w:eastAsia="Times New Roman"/>
          <w:b w:val="0"/>
          <w:i w:val="0"/>
          <w:color w:val="000000"/>
          <w:sz w:val="24"/>
          <w:szCs w:val="24"/>
        </w:rPr>
        <w:t> </w:t>
      </w:r>
    </w:p>
    <w:p>
      <w:pPr>
        <w:spacing w:before="0" w:after="0" w:beforeAutospacing="0" w:afterAutospacing="0"/>
        <w:ind w:firstLine="0" w:left="0" w:right="0"/>
        <w:jc w:val="left"/>
        <w:outlineLvl w:val="9"/>
      </w:pPr>
      <w:r>
        <w:rPr>
          <w:rFonts w:ascii="Times New Roman" w:hAnsi="Times New Roman" w:cs="Times New Roman" w:eastAsia="Times New Roman"/>
          <w:b w:val="0"/>
          <w:i w:val="0"/>
          <w:color w:val="000000"/>
          <w:sz w:val="24"/>
          <w:szCs w:val="24"/>
        </w:rPr>
        <w:t> </w:t>
      </w:r>
    </w:p>
    <w:p>
      <w:pPr>
        <w:spacing w:before="0" w:after="0" w:beforeAutospacing="0" w:afterAutospacing="0"/>
        <w:ind w:firstLine="0" w:left="0" w:right="0"/>
        <w:outlineLvl w:val="9"/>
      </w:pPr>
    </w:p>
    <w:tbl>
      <w:tblPr>
        <w:tblW w:w="10940" w:type="dxa"/>
        <w:tblInd w:w="96" w:type="dxa"/>
        <w:tblBorders>
          <w:top w:val="none" w:sz="0" w:space="0" w:shadow="0" w:frame="0" w:color="000000"/>
          <w:left w:val="none" w:sz="0" w:space="0" w:shadow="0" w:frame="0" w:color="000000"/>
          <w:bottom w:val="none" w:sz="0" w:space="0" w:shadow="0" w:frame="0" w:color="000000"/>
          <w:right w:val="none" w:sz="0" w:space="0" w:shadow="0" w:frame="0" w:color="000000"/>
          <w:insideH w:val="none" w:sz="0" w:space="0" w:shadow="0" w:frame="0" w:color="auto"/>
          <w:insideV w:val="none" w:sz="0" w:space="0" w:shadow="0" w:frame="0" w:color="auto"/>
        </w:tblBorders>
        <w:tblLayout w:type="autofit"/>
        <w:tblCellMar>
          <w:top w:w="0" w:type="dxa"/>
          <w:left w:w="0" w:type="dxa"/>
          <w:bottom w:w="0" w:type="dxa"/>
          <w:right w:w="0" w:type="dxa"/>
        </w:tblCellMar>
      </w:tblPr>
      <w:tblGrid/>
      <w:tr>
        <w:tc>
          <w:tcPr>
            <w:tcW w:w="10940" w:type="dxa"/>
            <w:gridSpan w:val="3"/>
            <w:tcMar>
              <w:top w:w="0" w:type="dxa"/>
              <w:left w:w="108" w:type="dxa"/>
              <w:bottom w:w="0" w:type="dxa"/>
              <w:right w:w="108" w:type="dxa"/>
            </w:tcMar>
            <w:vAlign w:val="center"/>
            <w:hideMark/>
          </w:tcPr>
          <w:p>
            <w:pPr>
              <w:ind w:left="0" w:right="0"/>
            </w:pPr>
          </w:p>
        </w:tc>
      </w:tr>
      <w:tr>
        <w:tc>
          <w:tcPr>
            <w:tcW w:w="2730" w:type="dxa"/>
            <w:tcMar>
              <w:top w:w="0" w:type="dxa"/>
              <w:left w:w="108" w:type="dxa"/>
              <w:bottom w:w="0" w:type="dxa"/>
              <w:right w:w="108" w:type="dxa"/>
            </w:tcMar>
            <w:vAlign w:val="center"/>
            <w:hideMark/>
          </w:tcPr>
          <w:p>
            <w:pPr>
              <w:spacing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20"/>
                <w:szCs w:val="20"/>
              </w:rPr>
              <w:t>Руководитель</w:t>
            </w:r>
          </w:p>
        </w:tc>
        <w:tc>
          <w:tcPr>
            <w:tcW w:w="4732" w:type="dxa"/>
            <w:tcMar>
              <w:top w:w="0" w:type="dxa"/>
              <w:left w:w="108" w:type="dxa"/>
              <w:bottom w:w="0" w:type="dxa"/>
              <w:right w:w="108" w:type="dxa"/>
            </w:tcMar>
            <w:vAlign w:val="center"/>
            <w:hideMark/>
          </w:tcPr>
          <w:p>
            <w:pPr>
              <w:spacing w:before="0" w:after="0" w:beforeAutospacing="0" w:afterAutospacing="0"/>
              <w:ind w:left="0" w:right="0"/>
              <w:rPr>
                <w:rFonts w:ascii="Times New Roman" w:hAnsi="Times New Roman" w:cs="Times New Roman" w:eastAsia="Times New Roman"/>
                <w:sz w:val="24"/>
              </w:rPr>
            </w:pPr>
            <w:r>
              <w:drawing>
                <wp:inline xmlns:wp="http://schemas.openxmlformats.org/drawingml/2006/wordprocessingDrawing" distT="0" distB="0" distL="0" distR="0">
                  <wp:extent cx="285750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dpi="0">
                          <a:blip xmlns:r="http://schemas.openxmlformats.org/officeDocument/2006/relationships" r:embed="Relimage1"/>
                          <a:srcRect/>
                          <a:stretch>
                            <a:fillRect/>
                          </a:stretch>
                        </pic:blipFill>
                        <pic:spPr>
                          <a:xfrm>
                            <a:off x="0" y="0"/>
                            <a:ext cx="2857500" cy="952500"/>
                          </a:xfrm>
                          <a:prstGeom prst="rect"/>
                          <a:noFill/>
                        </pic:spPr>
                      </pic:pic>
                    </a:graphicData>
                  </a:graphic>
                </wp:inline>
              </w:drawing>
            </w:r>
          </w:p>
        </w:tc>
        <w:tc>
          <w:tcPr>
            <w:tcW w:w="0" w:type="auto"/>
            <w:tcMar>
              <w:top w:w="0" w:type="dxa"/>
              <w:left w:w="108" w:type="dxa"/>
              <w:bottom w:w="0" w:type="dxa"/>
              <w:right w:w="108" w:type="dxa"/>
            </w:tcMar>
            <w:vAlign w:val="center"/>
            <w:hideMark/>
          </w:tcPr>
          <w:p>
            <w:pPr>
              <w:ind w:left="0" w:right="0"/>
            </w:pPr>
          </w:p>
        </w:tc>
      </w:tr>
      <w:tr>
        <w:trPr>
          <w:trHeight w:hRule="atLeast" w:val="280"/>
        </w:trPr>
        <w:tc>
          <w:tcPr>
            <w:tcW w:w="2730" w:type="dxa"/>
            <w:noWrap/>
            <w:tcMar>
              <w:top w:w="0" w:type="dxa"/>
              <w:left w:w="108" w:type="dxa"/>
              <w:bottom w:w="0" w:type="dxa"/>
              <w:right w:w="108" w:type="dxa"/>
            </w:tcMar>
            <w:vAlign w:val="bottom"/>
            <w:hideMark/>
          </w:tcPr>
          <w:p>
            <w:pPr>
              <w:ind w:left="0" w:right="0"/>
              <w:rPr>
                <w:sz w:val="24"/>
              </w:rPr>
            </w:pPr>
          </w:p>
        </w:tc>
        <w:tc>
          <w:tcPr>
            <w:tcW w:w="4732" w:type="dxa"/>
            <w:tcMar>
              <w:top w:w="0" w:type="dxa"/>
              <w:left w:w="108" w:type="dxa"/>
              <w:bottom w:w="0" w:type="dxa"/>
              <w:right w:w="108" w:type="dxa"/>
            </w:tcMar>
            <w:vAlign w:val="center"/>
            <w:hideMark/>
          </w:tcPr>
          <w:p>
            <w:pPr>
              <w:spacing w:before="0" w:after="0" w:beforeAutospacing="0" w:afterAutospacing="0"/>
              <w:ind w:left="0" w:right="0"/>
              <w:jc w:val="center"/>
              <w:rPr>
                <w:rFonts w:ascii="Times New Roman" w:hAnsi="Times New Roman" w:cs="Times New Roman" w:eastAsia="Times New Roman"/>
                <w:sz w:val="24"/>
              </w:rPr>
            </w:pPr>
            <w:r>
              <w:rPr>
                <w:rFonts w:ascii="Times New Roman" w:hAnsi="Times New Roman" w:cs="Times New Roman" w:eastAsia="Times New Roman"/>
                <w:sz w:val="20"/>
                <w:szCs w:val="20"/>
              </w:rPr>
              <w:t>(подпись)</w:t>
            </w:r>
          </w:p>
        </w:tc>
        <w:tc>
          <w:tcPr>
            <w:tcW w:w="0" w:type="auto"/>
            <w:tcMar>
              <w:top w:w="0" w:type="dxa"/>
              <w:left w:w="108" w:type="dxa"/>
              <w:bottom w:w="0" w:type="dxa"/>
              <w:right w:w="108" w:type="dxa"/>
            </w:tcMar>
            <w:vAlign w:val="center"/>
            <w:hideMark/>
          </w:tcPr>
          <w:p>
            <w:pPr>
              <w:spacing w:before="0" w:after="0" w:beforeAutospacing="0" w:afterAutospacing="0"/>
              <w:ind w:left="0" w:right="0"/>
              <w:jc w:val="center"/>
              <w:rPr>
                <w:rFonts w:ascii="Times New Roman" w:hAnsi="Times New Roman" w:cs="Times New Roman" w:eastAsia="Times New Roman"/>
                <w:sz w:val="24"/>
              </w:rPr>
            </w:pPr>
            <w:r>
              <w:rPr>
                <w:rFonts w:ascii="Times New Roman" w:hAnsi="Times New Roman" w:cs="Times New Roman" w:eastAsia="Times New Roman"/>
                <w:sz w:val="20"/>
                <w:szCs w:val="20"/>
              </w:rPr>
              <w:t>(расшифровка подписи)</w:t>
            </w:r>
          </w:p>
        </w:tc>
      </w:tr>
      <w:tr>
        <w:trPr>
          <w:trHeight w:hRule="atLeast" w:val="132"/>
        </w:trPr>
        <w:tc>
          <w:tcPr>
            <w:tcW w:w="0" w:type="auto"/>
            <w:gridSpan w:val="3"/>
            <w:noWrap/>
            <w:tcMar>
              <w:top w:w="0" w:type="dxa"/>
              <w:left w:w="108" w:type="dxa"/>
              <w:bottom w:w="0" w:type="dxa"/>
              <w:right w:w="108" w:type="dxa"/>
            </w:tcMar>
            <w:vAlign w:val="bottom"/>
            <w:hideMark/>
          </w:tcPr>
          <w:p>
            <w:pPr>
              <w:spacing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20"/>
                <w:szCs w:val="20"/>
              </w:rPr>
              <w:t> </w:t>
            </w:r>
          </w:p>
        </w:tc>
      </w:tr>
      <w:tr>
        <w:trPr>
          <w:trHeight w:hRule="atLeast" w:val="281"/>
        </w:trPr>
        <w:tc>
          <w:tcPr>
            <w:tcW w:w="2730" w:type="dxa"/>
            <w:tcMar>
              <w:top w:w="0" w:type="dxa"/>
              <w:left w:w="108" w:type="dxa"/>
              <w:bottom w:w="0" w:type="dxa"/>
              <w:right w:w="108" w:type="dxa"/>
            </w:tcMar>
            <w:vAlign w:val="center"/>
            <w:hideMark/>
          </w:tcPr>
          <w:p>
            <w:pPr>
              <w:spacing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20"/>
                <w:szCs w:val="20"/>
              </w:rPr>
              <w:t>Руководитель планово-</w:t>
            </w:r>
          </w:p>
        </w:tc>
        <w:tc>
          <w:tcPr>
            <w:tcW w:w="4732" w:type="dxa"/>
            <w:tcMar>
              <w:top w:w="0" w:type="dxa"/>
              <w:left w:w="108" w:type="dxa"/>
              <w:bottom w:w="0" w:type="dxa"/>
              <w:right w:w="108" w:type="dxa"/>
            </w:tcMar>
            <w:vAlign w:val="center"/>
            <w:hideMark/>
          </w:tcPr>
          <w:p>
            <w:pPr>
              <w:ind w:left="0" w:right="0"/>
              <w:rPr>
                <w:sz w:val="24"/>
              </w:rPr>
            </w:pPr>
          </w:p>
        </w:tc>
        <w:tc>
          <w:tcPr>
            <w:tcW w:w="0" w:type="auto"/>
            <w:tcMar>
              <w:top w:w="0" w:type="dxa"/>
              <w:left w:w="108" w:type="dxa"/>
              <w:bottom w:w="0" w:type="dxa"/>
              <w:right w:w="108" w:type="dxa"/>
            </w:tcMar>
            <w:vAlign w:val="center"/>
            <w:hideMark/>
          </w:tcPr>
          <w:p>
            <w:pPr>
              <w:ind w:left="0" w:right="0"/>
              <w:rPr>
                <w:sz w:val="24"/>
              </w:rPr>
            </w:pPr>
          </w:p>
        </w:tc>
      </w:tr>
      <w:tr>
        <w:trPr>
          <w:trHeight w:hRule="atLeast" w:val="281"/>
        </w:trPr>
        <w:tc>
          <w:tcPr>
            <w:tcW w:w="2730" w:type="dxa"/>
            <w:tcMar>
              <w:top w:w="0" w:type="dxa"/>
              <w:left w:w="108" w:type="dxa"/>
              <w:bottom w:w="0" w:type="dxa"/>
              <w:right w:w="108" w:type="dxa"/>
            </w:tcMar>
            <w:vAlign w:val="center"/>
            <w:hideMark/>
          </w:tcPr>
          <w:p>
            <w:pPr>
              <w:spacing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20"/>
                <w:szCs w:val="20"/>
              </w:rPr>
              <w:t>экономической службы</w:t>
            </w:r>
          </w:p>
        </w:tc>
        <w:tc>
          <w:tcPr>
            <w:tcW w:w="4732" w:type="dxa"/>
            <w:tcMar>
              <w:top w:w="0" w:type="dxa"/>
              <w:left w:w="108" w:type="dxa"/>
              <w:bottom w:w="0" w:type="dxa"/>
              <w:right w:w="108" w:type="dxa"/>
            </w:tcMar>
            <w:vAlign w:val="center"/>
            <w:hideMark/>
          </w:tcPr>
          <w:p>
            <w:pPr>
              <w:spacing w:before="0" w:after="0" w:beforeAutospacing="0" w:afterAutospacing="0"/>
              <w:ind w:left="0" w:right="0"/>
              <w:jc w:val="center"/>
              <w:rPr>
                <w:rFonts w:ascii="Times New Roman" w:hAnsi="Times New Roman" w:cs="Times New Roman" w:eastAsia="Times New Roman"/>
                <w:sz w:val="24"/>
              </w:rPr>
            </w:pPr>
            <w:r>
              <w:rPr>
                <w:rFonts w:ascii="Times New Roman" w:hAnsi="Times New Roman" w:cs="Times New Roman" w:eastAsia="Times New Roman"/>
                <w:sz w:val="20"/>
                <w:szCs w:val="20"/>
              </w:rPr>
              <w:t>(подпись)</w:t>
            </w:r>
          </w:p>
        </w:tc>
        <w:tc>
          <w:tcPr>
            <w:tcW w:w="0" w:type="auto"/>
            <w:tcMar>
              <w:top w:w="0" w:type="dxa"/>
              <w:left w:w="108" w:type="dxa"/>
              <w:bottom w:w="0" w:type="dxa"/>
              <w:right w:w="108" w:type="dxa"/>
            </w:tcMar>
            <w:vAlign w:val="center"/>
            <w:hideMark/>
          </w:tcPr>
          <w:p>
            <w:pPr>
              <w:spacing w:before="0" w:after="0" w:beforeAutospacing="0" w:afterAutospacing="0"/>
              <w:ind w:left="0" w:right="0"/>
              <w:jc w:val="center"/>
              <w:rPr>
                <w:rFonts w:ascii="Times New Roman" w:hAnsi="Times New Roman" w:cs="Times New Roman" w:eastAsia="Times New Roman"/>
                <w:sz w:val="24"/>
              </w:rPr>
            </w:pPr>
            <w:r>
              <w:rPr>
                <w:rFonts w:ascii="Times New Roman" w:hAnsi="Times New Roman" w:cs="Times New Roman" w:eastAsia="Times New Roman"/>
                <w:sz w:val="20"/>
                <w:szCs w:val="20"/>
              </w:rPr>
              <w:t>(расшифровка подписи)</w:t>
            </w:r>
          </w:p>
        </w:tc>
      </w:tr>
      <w:tr>
        <w:trPr>
          <w:trHeight w:hRule="atLeast" w:val="281"/>
        </w:trPr>
        <w:tc>
          <w:tcPr>
            <w:tcW w:w="0" w:type="auto"/>
            <w:gridSpan w:val="3"/>
            <w:noWrap/>
            <w:tcMar>
              <w:top w:w="0" w:type="dxa"/>
              <w:left w:w="108" w:type="dxa"/>
              <w:bottom w:w="0" w:type="dxa"/>
              <w:right w:w="108" w:type="dxa"/>
            </w:tcMar>
            <w:vAlign w:val="bottom"/>
            <w:hideMark/>
          </w:tcPr>
          <w:p>
            <w:pPr>
              <w:ind w:left="0" w:right="0"/>
              <w:rPr>
                <w:sz w:val="24"/>
              </w:rPr>
            </w:pPr>
          </w:p>
        </w:tc>
      </w:tr>
      <w:tr>
        <w:trPr>
          <w:trHeight w:hRule="atLeast" w:val="281"/>
        </w:trPr>
        <w:tc>
          <w:tcPr>
            <w:tcW w:w="2730" w:type="dxa"/>
            <w:tcMar>
              <w:top w:w="0" w:type="dxa"/>
              <w:left w:w="108" w:type="dxa"/>
              <w:bottom w:w="0" w:type="dxa"/>
              <w:right w:w="108" w:type="dxa"/>
            </w:tcMar>
            <w:vAlign w:val="center"/>
            <w:hideMark/>
          </w:tcPr>
          <w:p>
            <w:pPr>
              <w:spacing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20"/>
                <w:szCs w:val="20"/>
              </w:rPr>
              <w:t> </w:t>
            </w:r>
          </w:p>
          <w:p>
            <w:pPr>
              <w:spacing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20"/>
                <w:szCs w:val="20"/>
              </w:rPr>
              <w:t> </w:t>
            </w:r>
          </w:p>
          <w:p>
            <w:pPr>
              <w:spacing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20"/>
                <w:szCs w:val="20"/>
              </w:rPr>
              <w:t>Главный</w:t>
            </w:r>
          </w:p>
        </w:tc>
        <w:tc>
          <w:tcPr>
            <w:tcW w:w="4732" w:type="dxa"/>
            <w:tcMar>
              <w:top w:w="0" w:type="dxa"/>
              <w:left w:w="108" w:type="dxa"/>
              <w:bottom w:w="0" w:type="dxa"/>
              <w:right w:w="108" w:type="dxa"/>
            </w:tcMar>
            <w:vAlign w:val="center"/>
            <w:hideMark/>
          </w:tcPr>
          <w:p>
            <w:pPr>
              <w:spacing w:before="0" w:after="0" w:beforeAutospacing="0" w:afterAutospacing="0"/>
              <w:ind w:left="0" w:right="0"/>
              <w:rPr>
                <w:rFonts w:ascii="Times New Roman" w:hAnsi="Times New Roman" w:cs="Times New Roman" w:eastAsia="Times New Roman"/>
                <w:sz w:val="24"/>
              </w:rPr>
            </w:pPr>
            <w:r>
              <w:drawing>
                <wp:inline xmlns:wp="http://schemas.openxmlformats.org/drawingml/2006/wordprocessingDrawing" distT="0" distB="0" distL="0" distR="0">
                  <wp:extent cx="28575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dpi="0">
                          <a:blip xmlns:r="http://schemas.openxmlformats.org/officeDocument/2006/relationships" r:embed="Relimage2"/>
                          <a:srcRect/>
                          <a:stretch>
                            <a:fillRect/>
                          </a:stretch>
                        </pic:blipFill>
                        <pic:spPr>
                          <a:xfrm>
                            <a:off x="0" y="0"/>
                            <a:ext cx="2857500" cy="952500"/>
                          </a:xfrm>
                          <a:prstGeom prst="rect"/>
                          <a:noFill/>
                        </pic:spPr>
                      </pic:pic>
                    </a:graphicData>
                  </a:graphic>
                </wp:inline>
              </w:drawing>
            </w:r>
          </w:p>
        </w:tc>
        <w:tc>
          <w:tcPr>
            <w:tcW w:w="0" w:type="auto"/>
            <w:noWrap/>
            <w:tcMar>
              <w:top w:w="0" w:type="dxa"/>
              <w:left w:w="108" w:type="dxa"/>
              <w:bottom w:w="0" w:type="dxa"/>
              <w:right w:w="108" w:type="dxa"/>
            </w:tcMar>
            <w:vAlign w:val="bottom"/>
            <w:hideMark/>
          </w:tcPr>
          <w:p>
            <w:pPr>
              <w:ind w:left="0" w:right="0"/>
              <w:rPr>
                <w:sz w:val="24"/>
              </w:rPr>
            </w:pPr>
          </w:p>
        </w:tc>
      </w:tr>
      <w:tr>
        <w:trPr>
          <w:trHeight w:hRule="atLeast" w:val="281"/>
        </w:trPr>
        <w:tc>
          <w:tcPr>
            <w:tcW w:w="2730" w:type="dxa"/>
            <w:tcMar>
              <w:top w:w="0" w:type="dxa"/>
              <w:left w:w="108" w:type="dxa"/>
              <w:bottom w:w="0" w:type="dxa"/>
              <w:right w:w="108" w:type="dxa"/>
            </w:tcMar>
            <w:vAlign w:val="center"/>
            <w:hideMark/>
          </w:tcPr>
          <w:p>
            <w:pPr>
              <w:spacing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20"/>
                <w:szCs w:val="20"/>
              </w:rPr>
              <w:t>бухгалтер</w:t>
            </w:r>
          </w:p>
        </w:tc>
        <w:tc>
          <w:tcPr>
            <w:tcW w:w="4732" w:type="dxa"/>
            <w:tcMar>
              <w:top w:w="0" w:type="dxa"/>
              <w:left w:w="108" w:type="dxa"/>
              <w:bottom w:w="0" w:type="dxa"/>
              <w:right w:w="108" w:type="dxa"/>
            </w:tcMar>
            <w:vAlign w:val="center"/>
            <w:hideMark/>
          </w:tcPr>
          <w:p>
            <w:pPr>
              <w:spacing w:before="0" w:after="0" w:beforeAutospacing="0" w:afterAutospacing="0"/>
              <w:ind w:left="0" w:right="0"/>
              <w:jc w:val="center"/>
              <w:rPr>
                <w:rFonts w:ascii="Times New Roman" w:hAnsi="Times New Roman" w:cs="Times New Roman" w:eastAsia="Times New Roman"/>
                <w:sz w:val="24"/>
              </w:rPr>
            </w:pPr>
            <w:r>
              <w:rPr>
                <w:rFonts w:ascii="Times New Roman" w:hAnsi="Times New Roman" w:cs="Times New Roman" w:eastAsia="Times New Roman"/>
                <w:sz w:val="20"/>
                <w:szCs w:val="20"/>
              </w:rPr>
              <w:t>(подпись)</w:t>
            </w:r>
          </w:p>
        </w:tc>
        <w:tc>
          <w:tcPr>
            <w:tcW w:w="0" w:type="auto"/>
            <w:tcMar>
              <w:top w:w="0" w:type="dxa"/>
              <w:left w:w="108" w:type="dxa"/>
              <w:bottom w:w="0" w:type="dxa"/>
              <w:right w:w="108" w:type="dxa"/>
            </w:tcMar>
            <w:vAlign w:val="center"/>
            <w:hideMark/>
          </w:tcPr>
          <w:p>
            <w:pPr>
              <w:spacing w:before="0" w:after="0" w:beforeAutospacing="0" w:afterAutospacing="0"/>
              <w:ind w:left="0" w:right="0"/>
              <w:jc w:val="center"/>
              <w:rPr>
                <w:rFonts w:ascii="Times New Roman" w:hAnsi="Times New Roman" w:cs="Times New Roman" w:eastAsia="Times New Roman"/>
                <w:sz w:val="24"/>
              </w:rPr>
            </w:pPr>
            <w:r>
              <w:rPr>
                <w:rFonts w:ascii="Times New Roman" w:hAnsi="Times New Roman" w:cs="Times New Roman" w:eastAsia="Times New Roman"/>
                <w:sz w:val="20"/>
                <w:szCs w:val="20"/>
              </w:rPr>
              <w:t>(расшифровка подписи)</w:t>
            </w:r>
          </w:p>
        </w:tc>
      </w:tr>
    </w:tbl>
    <w:p>
      <w:pPr>
        <w:spacing w:before="0" w:after="0" w:beforeAutospacing="0" w:afterAutospacing="0"/>
        <w:ind w:firstLine="0" w:left="0" w:right="0"/>
        <w:outlineLvl w:val="9"/>
        <w:rPr>
          <w:rFonts w:ascii="Times New Roman" w:hAnsi="Times New Roman" w:cs="Times New Roman" w:eastAsia="Times New Roman"/>
          <w:sz w:val="24"/>
        </w:rPr>
      </w:pPr>
      <w:r>
        <w:rPr>
          <w:rFonts w:ascii="Times New Roman" w:hAnsi="Times New Roman" w:cs="Times New Roman" w:eastAsia="Times New Roman"/>
          <w:sz w:val="20"/>
          <w:szCs w:val="20"/>
        </w:rPr>
        <w:t> </w:t>
      </w:r>
    </w:p>
    <w:p>
      <w:pPr>
        <w:spacing w:before="0" w:after="0" w:beforeAutospacing="0" w:afterAutospacing="0"/>
        <w:ind w:firstLine="0" w:left="0" w:right="0"/>
        <w:outlineLvl w:val="9"/>
        <w:rPr>
          <w:rFonts w:ascii="Times New Roman" w:hAnsi="Times New Roman" w:cs="Times New Roman" w:eastAsia="Times New Roman"/>
          <w:sz w:val="24"/>
        </w:rPr>
      </w:pPr>
      <w:r>
        <w:rPr>
          <w:rFonts w:ascii="Times New Roman" w:hAnsi="Times New Roman" w:cs="Times New Roman" w:eastAsia="Times New Roman"/>
          <w:sz w:val="20"/>
          <w:szCs w:val="20"/>
        </w:rPr>
        <w:t>"____"   ____________ 20____г.</w:t>
      </w:r>
    </w:p>
    <w:p>
      <w:r>
        <w:rPr>
          <w:rFonts w:ascii="Times New Roman" w:hAnsi="Times New Roman" w:cs="Times New Roman" w:eastAsia="Times New Roman"/>
          <w:sz w:val="24"/>
          <w:szCs w:val="24"/>
        </w:rPr>
        <w:t xml:space="preserve">Документ подписан электронной подписью. </w:t>
        <w:br w:type="textWrapping"/>
        <w:t xml:space="preserve">Главный бухгалтер(Зотова Инна Евгеньевна, Сертификат: 36638C53094098EF64956043FB535F36, Действителен: с 15.07.2024 по 08.10.2025),Руководитель(Панюхин Михаил Анатольевич, Сертификат: 18ED69401A312D8E26C1EFA12C2A1623, Действителен: с 18.07.2024 по 11.10.2025)        </w:t>
      </w:r>
    </w:p>
    <w:sectPr>
      <w:type w:val="nextPage"/>
      <w:pgSz w:w="15840" w:h="12240" w:orient="landscape"/>
      <w:pgMar w:left="1700" w:right="850" w:top="1133" w:bottom="1133" w:header="708" w:footer="708" w:gutter="0"/>
    </w:sectPr>
  </w:body>
</w:document>
</file>

<file path=word/numbering.xml><?xml version="1.0" encoding="utf-8"?>
<w:numbering xmlns:w="http://schemas.openxmlformats.org/wordprocessingml/2006/main"/>
</file>

<file path=word/settings.xml><?xml version="1.0" encoding="utf-8"?>
<w:settings xmlns:w="http://schemas.openxmlformats.org/wordprocessingml/2006/main">
  <w:displayBackgroundShape w:val="0"/>
  <w:defaultTabStop w:val="720"/>
  <w:autoHyphenation w:val="0"/>
  <w:evenAndOddHeaders w:val="0"/>
  <w:compat>
    <w:compatSetting w:name="compatibilityMode" w:uri="http://schemas.microsoft.com/office/word" w:val="12"/>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w:docDefaults>
    <w:rPrDefault>
      <w:rPr>
        <w:rFonts w:asciiTheme="minorHAnsi" w:hAnsiTheme="minorHAnsi" w:cstheme="minorBidi" w:eastAsiaTheme="minorEastAsia"/>
        <w:sz w:val="22"/>
        <w:szCs w:val="22"/>
      </w:rPr>
    </w:rPrDefault>
    <w:pPrDefault>
      <w:pPr>
        <w:keepNext w:val="0"/>
        <w:keepLines w:val="0"/>
        <w:pageBreakBefore w:val="0"/>
        <w:widowControl w:val="1"/>
        <w:suppressLineNumbers w:val="0"/>
        <w:shd w:val="clear" w:fill="auto"/>
        <w:suppressAutoHyphens w:val="0"/>
        <w:spacing w:lineRule="auto" w:line="240" w:before="0" w:after="0" w:beforeAutospacing="0" w:afterAutospacing="0"/>
        <w:ind w:firstLine="0" w:left="0" w:right="0"/>
        <w:contextualSpacing w:val="0"/>
        <w:bidi w:val="0"/>
        <w:jc w:val="left"/>
        <w:outlineLvl w:val="9"/>
      </w:pPr>
    </w:pPrDefault>
  </w:docDefaults>
  <w:style w:type="paragraph" w:styleId="P0" w:default="1">
    <w:name w:val="Normal"/>
    <w:pPr/>
    <w:rPr/>
  </w:style>
  <w:style w:type="character" w:styleId="C0" w:default="1">
    <w:name w:val="Default Paragraph Font"/>
    <w:semiHidden/>
    <w:rPr/>
  </w:style>
  <w:style w:type="character" w:styleId="C1">
    <w:name w:val="Line Number"/>
    <w:basedOn w:val="C0"/>
    <w:semiHidden/>
    <w:rPr/>
  </w:style>
  <w:style w:type="character" w:styleId="C2">
    <w:name w:val="Hyperlink"/>
    <w:rPr>
      <w:color w:val="0000FF"/>
      <w:u w:val="single"/>
    </w:rPr>
  </w:style>
  <w:style w:type="table" w:styleId="T0" w:default="1">
    <w:name w:val="Normal Table"/>
    <w:tblPr>
      <w:tblCellMar>
        <w:top w:w="0" w:type="dxa"/>
        <w:left w:w="108" w:type="dxa"/>
        <w:bottom w:w="0" w:type="dxa"/>
        <w:right w:w="108" w:type="dxa"/>
      </w:tblCellMar>
    </w:tblPr>
    <w:trPr/>
    <w:tcPr/>
  </w:style>
  <w:style w:type="table" w:styleId="T1">
    <w:name w:val="Table Simple 1"/>
    <w:basedOn w:val="T0"/>
    <w:tblPr>
      <w:tblBorders>
        <w:top w:val="single" w:sz="4" w:space="0" w:shadow="0" w:frame="0" w:color="000000"/>
        <w:left w:val="single" w:sz="4" w:space="0" w:shadow="0" w:frame="0" w:color="000000"/>
        <w:bottom w:val="single" w:sz="4" w:space="0" w:shadow="0" w:frame="0" w:color="000000"/>
        <w:right w:val="single" w:sz="4" w:space="0" w:shadow="0" w:frame="0" w:color="000000"/>
        <w:insideH w:val="single" w:sz="4" w:space="0" w:shadow="0" w:frame="0" w:color="000000"/>
        <w:insideV w:val="single" w:sz="4" w:space="0" w:shadow="0" w:frame="0" w:color="000000"/>
      </w:tblBorders>
      <w:tblCellMar>
        <w:top w:w="0" w:type="dxa"/>
        <w:left w:w="108" w:type="dxa"/>
        <w:bottom w:w="0" w:type="dxa"/>
        <w:right w:w="108" w:type="dxa"/>
      </w:tblCellMar>
    </w:tblPr>
    <w:trPr/>
    <w:tcPr/>
  </w:style>
</w:styles>
</file>

<file path=word/_rels/document.xml.rels>&#65279;<?xml version="1.0" encoding="utf-8"?><Relationships xmlns="http://schemas.openxmlformats.org/package/2006/relationships"><Relationship Id="Relimage1" Type="http://schemas.openxmlformats.org/officeDocument/2006/relationships/image" Target="/media/image1.png" /><Relationship Id="Relimage2" Type="http://schemas.openxmlformats.org/officeDocument/2006/relationships/image" Target="/media/image2.png" /><Relationship Id="R2" Type="http://schemas.openxmlformats.org/officeDocument/2006/relationships/hyperlink" Target="http://internet.garant.ru/document/redirect/12184447/3773" TargetMode="External" /><Relationship Id="RelStyle1" Type="http://schemas.openxmlformats.org/officeDocument/2006/relationships/styles" Target="styles.xml" /><Relationship Id="RelNum1" Type="http://schemas.openxmlformats.org/officeDocument/2006/relationships/numbering" Target="numbering.xml" /><Relationship Id="RelSettings1" Type="http://schemas.openxmlformats.org/officeDocument/2006/relationships/settings" Target="settings.xml" /><Relationship Id="RelTheme1"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7EAADF"/>
      </a:accent1>
      <a:accent2>
        <a:srgbClr val="EA726F"/>
      </a:accent2>
      <a:accent3>
        <a:srgbClr val="A9D774"/>
      </a:accent3>
      <a:accent4>
        <a:srgbClr val="A78BC9"/>
      </a:accent4>
      <a:accent5>
        <a:srgbClr val="78CBE1"/>
      </a:accent5>
      <a:accent6>
        <a:srgbClr val="FCBF8C"/>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mpd="sng" algn="ctr">
          <a:solidFill>
            <a:schemeClr val="phClr">
              <a:shade val="95000"/>
              <a:satMod val="105000"/>
            </a:schemeClr>
          </a:solidFill>
          <a:prstDash val="solid"/>
        </a:ln>
        <a:ln w="25400" cmpd="sng" algn="ctr">
          <a:solidFill>
            <a:schemeClr val="phClr"/>
          </a:solidFill>
          <a:prstDash val="solid"/>
        </a:ln>
        <a:ln w="38100"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theme>
</file>

<file path=docProps/app.xml><?xml version="1.0" encoding="utf-8"?>
<Properties xmlns="http://schemas.openxmlformats.org/officeDocument/2006/extended-properties">
  <Application>DevExpress Office File API/21.2.5.0</Application>
  <AppVersion>21.2</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Пользователь</dc:creator>
  <dcterms:created xsi:type="dcterms:W3CDTF">2025-03-18T13:07:48Z</dcterms:created>
  <cp:lastModifiedBy>Пользователь</cp:lastModifiedBy>
  <dcterms:modified xsi:type="dcterms:W3CDTF">2025-03-18T13:07:48Z</dcterms:modified>
  <cp:revision>2</cp:revision>
</cp:coreProperties>
</file>